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61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391"/>
        <w:gridCol w:w="3123"/>
        <w:gridCol w:w="2337"/>
        <w:gridCol w:w="2761"/>
      </w:tblGrid>
      <w:tr>
        <w:trPr>
          <w:trHeight w:val="709" w:hRule="atLeast"/>
          <w:cantSplit w:val="true"/>
        </w:trPr>
        <w:tc>
          <w:tcPr>
            <w:tcW w:w="2391" w:type="dxa"/>
            <w:vMerge w:val="restart"/>
            <w:tcBorders/>
          </w:tcPr>
          <w:p>
            <w:pPr>
              <w:pStyle w:val="Intestazione"/>
              <w:widowControl w:val="false"/>
              <w:jc w:val="center"/>
              <w:rPr>
                <w:rFonts w:ascii="Garamond" w:hAnsi="Garamond" w:eastAsia="Calibri"/>
                <w:spacing w:val="20"/>
              </w:rPr>
            </w:pPr>
            <w:r>
              <w:rPr/>
              <w:drawing>
                <wp:inline distT="0" distB="0" distL="0" distR="0">
                  <wp:extent cx="981075" cy="628650"/>
                  <wp:effectExtent l="0" t="0" r="0" b="0"/>
                  <wp:docPr id="1" name="Immagine 2" descr="NUOV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2" descr="NUOV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gridSpan w:val="3"/>
            <w:tcBorders/>
            <w:vAlign w:val="center"/>
          </w:tcPr>
          <w:p>
            <w:pPr>
              <w:pStyle w:val="Intestazione"/>
              <w:widowControl w:val="false"/>
              <w:jc w:val="right"/>
              <w:rPr>
                <w:rFonts w:ascii="Garamond" w:hAnsi="Garamond" w:eastAsia="Calibri"/>
                <w:b/>
                <w:b/>
                <w:spacing w:val="20"/>
              </w:rPr>
            </w:pPr>
            <w:r>
              <w:rPr>
                <w:rFonts w:eastAsia="Calibri" w:ascii="Garamond" w:hAnsi="Garamond"/>
                <w:b/>
                <w:spacing w:val="20"/>
              </w:rPr>
            </w:r>
          </w:p>
        </w:tc>
      </w:tr>
      <w:tr>
        <w:trPr>
          <w:trHeight w:val="293" w:hRule="atLeast"/>
          <w:cantSplit w:val="true"/>
        </w:trPr>
        <w:tc>
          <w:tcPr>
            <w:tcW w:w="239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Garamond" w:hAnsi="Garamond" w:eastAsia="Calibri"/>
                <w:spacing w:val="20"/>
              </w:rPr>
            </w:pPr>
            <w:r>
              <w:rPr>
                <w:rFonts w:eastAsia="Calibri" w:ascii="Garamond" w:hAnsi="Garamond"/>
                <w:spacing w:val="20"/>
              </w:rPr>
            </w:r>
          </w:p>
        </w:tc>
        <w:tc>
          <w:tcPr>
            <w:tcW w:w="8221" w:type="dxa"/>
            <w:gridSpan w:val="3"/>
            <w:tcBorders/>
            <w:vAlign w:val="center"/>
          </w:tcPr>
          <w:p>
            <w:pPr>
              <w:pStyle w:val="Intestazione"/>
              <w:widowControl w:val="false"/>
              <w:rPr>
                <w:rFonts w:ascii="Garamond" w:hAnsi="Garamond" w:eastAsia="Calibri"/>
                <w:spacing w:val="20"/>
              </w:rPr>
            </w:pPr>
            <w:r>
              <w:rPr>
                <w:rFonts w:eastAsia="Calibri" w:ascii="Garamond" w:hAnsi="Garamond"/>
                <w:spacing w:val="20"/>
              </w:rPr>
              <w:t xml:space="preserve">Progetto esecutivo </w:t>
            </w:r>
          </w:p>
        </w:tc>
      </w:tr>
      <w:tr>
        <w:trPr>
          <w:trHeight w:val="368" w:hRule="atLeast"/>
        </w:trPr>
        <w:tc>
          <w:tcPr>
            <w:tcW w:w="2391" w:type="dxa"/>
            <w:tcBorders/>
            <w:vAlign w:val="center"/>
          </w:tcPr>
          <w:p>
            <w:pPr>
              <w:pStyle w:val="Intestazione"/>
              <w:widowControl w:val="false"/>
              <w:jc w:val="center"/>
              <w:rPr>
                <w:rFonts w:ascii="Garamond" w:hAnsi="Garamond" w:eastAsia="Calibri"/>
                <w:spacing w:val="20"/>
              </w:rPr>
            </w:pPr>
            <w:r>
              <w:rPr>
                <w:rFonts w:eastAsia="Calibri" w:ascii="Garamond" w:hAnsi="Garamond"/>
                <w:spacing w:val="20"/>
              </w:rPr>
              <w:t>MOD  7.3_2</w:t>
            </w:r>
          </w:p>
        </w:tc>
        <w:tc>
          <w:tcPr>
            <w:tcW w:w="3123" w:type="dxa"/>
            <w:tcBorders/>
            <w:vAlign w:val="center"/>
          </w:tcPr>
          <w:p>
            <w:pPr>
              <w:pStyle w:val="Intestazione"/>
              <w:widowControl w:val="false"/>
              <w:jc w:val="center"/>
              <w:rPr>
                <w:rFonts w:ascii="Garamond" w:hAnsi="Garamond" w:eastAsia="Calibri"/>
                <w:spacing w:val="20"/>
              </w:rPr>
            </w:pPr>
            <w:r>
              <w:rPr>
                <w:rFonts w:eastAsia="Calibri" w:ascii="Garamond" w:hAnsi="Garamond"/>
                <w:spacing w:val="20"/>
              </w:rPr>
              <w:t>Ed. 1 Rev.1 del 28/06/13</w:t>
            </w:r>
          </w:p>
        </w:tc>
        <w:tc>
          <w:tcPr>
            <w:tcW w:w="2337" w:type="dxa"/>
            <w:tcBorders/>
            <w:vAlign w:val="center"/>
          </w:tcPr>
          <w:p>
            <w:pPr>
              <w:pStyle w:val="Intestazione"/>
              <w:widowControl w:val="false"/>
              <w:jc w:val="center"/>
              <w:rPr>
                <w:rFonts w:ascii="Garamond" w:hAnsi="Garamond" w:eastAsia="Calibri"/>
                <w:spacing w:val="20"/>
                <w:lang w:val="en-US"/>
              </w:rPr>
            </w:pPr>
            <w:r>
              <w:rPr>
                <w:rFonts w:eastAsia="Calibri" w:ascii="Garamond" w:hAnsi="Garamond"/>
                <w:spacing w:val="20"/>
                <w:lang w:val="en-US"/>
              </w:rPr>
              <w:t>Red. RSG App.DS</w:t>
            </w:r>
          </w:p>
        </w:tc>
        <w:tc>
          <w:tcPr>
            <w:tcW w:w="2761" w:type="dxa"/>
            <w:tcBorders/>
            <w:vAlign w:val="center"/>
          </w:tcPr>
          <w:p>
            <w:pPr>
              <w:pStyle w:val="Intestazione"/>
              <w:widowControl w:val="false"/>
              <w:jc w:val="center"/>
              <w:rPr>
                <w:rFonts w:ascii="Courier New" w:hAnsi="Courier New" w:eastAsia="Calibri"/>
                <w:spacing w:val="20"/>
              </w:rPr>
            </w:pPr>
            <w:r>
              <w:rPr>
                <w:rFonts w:eastAsia="Calibri" w:ascii="Garamond" w:hAnsi="Garamond"/>
                <w:spacing w:val="20"/>
              </w:rPr>
              <w:t xml:space="preserve">Pag. </w:t>
            </w:r>
            <w:r>
              <w:fldChar w:fldCharType="begin"/>
            </w:r>
            <w:r>
              <w:rPr>
                <w:spacing w:val="20"/>
                <w:rFonts w:eastAsia="Calibri" w:ascii="Courier New" w:hAnsi="Courier New"/>
              </w:rPr>
              <w:instrText>SECTION  \* Arabic  \* MERGEFORMAT</w:instrText>
            </w:r>
            <w:r>
              <w:rPr>
                <w:rFonts w:eastAsia="Calibri" w:ascii="Courier New" w:hAnsi="Courier New"/>
                <w:spacing w:val="20"/>
              </w:rPr>
            </w:r>
            <w:r>
              <w:rPr>
                <w:spacing w:val="20"/>
                <w:rFonts w:eastAsia="Calibri" w:ascii="Courier New" w:hAnsi="Courier New"/>
              </w:rPr>
              <w:fldChar w:fldCharType="separate"/>
            </w:r>
            <w:r>
              <w:rPr>
                <w:rFonts w:eastAsia="Calibri" w:ascii="Courier New" w:hAnsi="Courier New"/>
                <w:spacing w:val="20"/>
              </w:rPr>
              <w:t>1</w:t>
            </w:r>
            <w:r>
              <w:rPr>
                <w:rFonts w:eastAsia="Calibri" w:ascii="Courier New" w:hAnsi="Courier New"/>
                <w:spacing w:val="20"/>
              </w:rPr>
            </w:r>
            <w:r>
              <w:rPr>
                <w:spacing w:val="20"/>
                <w:rFonts w:eastAsia="Calibri" w:ascii="Courier New" w:hAnsi="Courier New"/>
              </w:rPr>
              <w:fldChar w:fldCharType="end"/>
            </w:r>
            <w:r>
              <w:rPr>
                <w:rFonts w:eastAsia="Calibri" w:ascii="Garamond" w:hAnsi="Garamond"/>
                <w:spacing w:val="20"/>
              </w:rPr>
              <w:t xml:space="preserve"> </w:t>
            </w:r>
          </w:p>
        </w:tc>
      </w:tr>
    </w:tbl>
    <w:p>
      <w:pPr>
        <w:pStyle w:val="Normal"/>
        <w:jc w:val="center"/>
        <w:rPr>
          <w:rFonts w:ascii="Garamond" w:hAnsi="Garamond"/>
          <w:b/>
          <w:b/>
          <w:color w:val="002060"/>
          <w:sz w:val="36"/>
          <w:szCs w:val="36"/>
        </w:rPr>
      </w:pPr>
      <w:r>
        <w:rPr>
          <w:rFonts w:ascii="Garamond" w:hAnsi="Garamond"/>
          <w:b/>
          <w:color w:val="002060"/>
          <w:sz w:val="36"/>
          <w:szCs w:val="36"/>
        </w:rPr>
      </w:r>
    </w:p>
    <w:p>
      <w:pPr>
        <w:pStyle w:val="Normal"/>
        <w:jc w:val="center"/>
        <w:rPr>
          <w:rFonts w:ascii="Garamond" w:hAnsi="Garamond"/>
          <w:b/>
          <w:b/>
          <w:color w:val="002060"/>
          <w:sz w:val="36"/>
          <w:szCs w:val="36"/>
        </w:rPr>
      </w:pPr>
      <w:r>
        <w:rPr/>
        <w:drawing>
          <wp:inline distT="0" distB="0" distL="0" distR="0">
            <wp:extent cx="3876675" cy="2447925"/>
            <wp:effectExtent l="0" t="0" r="0" b="0"/>
            <wp:docPr id="2" name="Immagine 1" descr="NUOV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NUOVO LOGO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Garamond" w:hAnsi="Garamond"/>
          <w:b/>
          <w:b/>
          <w:color w:val="002060"/>
          <w:sz w:val="36"/>
          <w:szCs w:val="36"/>
        </w:rPr>
      </w:pPr>
      <w:r>
        <w:rPr>
          <w:rFonts w:ascii="Garamond" w:hAnsi="Garamond"/>
          <w:b/>
          <w:color w:val="002060"/>
          <w:sz w:val="36"/>
          <w:szCs w:val="36"/>
        </w:rPr>
      </w:r>
    </w:p>
    <w:p>
      <w:pPr>
        <w:pStyle w:val="Normal"/>
        <w:jc w:val="center"/>
        <w:rPr>
          <w:rFonts w:ascii="Garamond" w:hAnsi="Garamond"/>
          <w:b/>
          <w:b/>
          <w:color w:val="002060"/>
          <w:sz w:val="36"/>
          <w:szCs w:val="36"/>
        </w:rPr>
      </w:pPr>
      <w:r>
        <w:rPr>
          <w:rFonts w:ascii="Garamond" w:hAnsi="Garamond"/>
          <w:b/>
          <w:color w:val="002060"/>
          <w:sz w:val="36"/>
          <w:szCs w:val="36"/>
        </w:rPr>
        <w:t>PROGRAMMAZIONE DIDATTICA</w:t>
      </w:r>
    </w:p>
    <w:p>
      <w:pPr>
        <w:pStyle w:val="Normal"/>
        <w:jc w:val="center"/>
        <w:rPr>
          <w:rFonts w:ascii="Garamond" w:hAnsi="Garamond"/>
          <w:b/>
          <w:b/>
          <w:color w:val="002060"/>
          <w:sz w:val="16"/>
          <w:szCs w:val="16"/>
        </w:rPr>
      </w:pPr>
      <w:r>
        <w:rPr>
          <w:rFonts w:ascii="Garamond" w:hAnsi="Garamond"/>
          <w:b/>
          <w:color w:val="002060"/>
          <w:sz w:val="16"/>
          <w:szCs w:val="16"/>
        </w:rPr>
      </w:r>
    </w:p>
    <w:p>
      <w:pPr>
        <w:pStyle w:val="Normal"/>
        <w:jc w:val="center"/>
        <w:rPr>
          <w:rFonts w:ascii="Garamond" w:hAnsi="Garamond"/>
          <w:b/>
          <w:b/>
          <w:color w:val="002060"/>
          <w:sz w:val="36"/>
          <w:szCs w:val="36"/>
        </w:rPr>
      </w:pPr>
      <w:r>
        <w:rPr>
          <w:rFonts w:ascii="Garamond" w:hAnsi="Garamond"/>
          <w:b/>
          <w:color w:val="002060"/>
          <w:sz w:val="36"/>
          <w:szCs w:val="36"/>
        </w:rPr>
        <w:t>MODULI RELATIVI ALLE COMPETENZE STCW</w:t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  <w:b/>
          <w:b/>
          <w:smallCaps/>
        </w:rPr>
      </w:pPr>
      <w:r>
        <w:rPr>
          <w:rFonts w:ascii="Garamond" w:hAnsi="Garamond"/>
        </w:rPr>
        <w:t>ISTITUTO :</w:t>
        <w:tab/>
        <w:tab/>
      </w:r>
      <w:r>
        <w:rPr>
          <w:rFonts w:ascii="Garamond" w:hAnsi="Garamond"/>
          <w:b/>
          <w:smallCaps/>
          <w:color w:val="002060"/>
        </w:rPr>
        <w:t>Istituto di Istruzione Secondaria Superiore “Galilei- Artiglio”</w:t>
      </w:r>
    </w:p>
    <w:p>
      <w:pPr>
        <w:pStyle w:val="Normal"/>
        <w:spacing w:before="60" w:after="60"/>
        <w:rPr>
          <w:rFonts w:ascii="Garamond" w:hAnsi="Garamond"/>
          <w:b/>
          <w:b/>
          <w:smallCaps/>
        </w:rPr>
      </w:pPr>
      <w:r>
        <w:rPr>
          <w:rFonts w:ascii="Garamond" w:hAnsi="Garamond"/>
        </w:rPr>
        <w:t>INDIRIZZO:</w:t>
        <w:tab/>
        <w:tab/>
        <w:t xml:space="preserve">       </w:t>
      </w:r>
      <w:r>
        <w:rPr>
          <w:rFonts w:ascii="Garamond" w:hAnsi="Garamond"/>
          <w:b/>
          <w:smallCaps/>
          <w:color w:val="002060"/>
        </w:rPr>
        <w:t>Istituto Tecnico a Indirizzo Trasporti e Logistica</w:t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  <w:t>ARTICOLAZIONE:</w:t>
        <w:tab/>
        <w:tab/>
        <w:tab/>
        <w:t xml:space="preserve">        </w:t>
      </w:r>
      <w:r>
        <w:rPr>
          <w:rFonts w:ascii="Garamond" w:hAnsi="Garamond"/>
          <w:b/>
          <w:smallCaps/>
          <w:color w:val="002060"/>
        </w:rPr>
        <w:t>Conduzione del Mezzo</w:t>
      </w:r>
    </w:p>
    <w:p>
      <w:pPr>
        <w:pStyle w:val="Normal"/>
        <w:spacing w:before="60" w:after="60"/>
        <w:rPr>
          <w:rFonts w:ascii="Garamond" w:hAnsi="Garamond"/>
          <w:b/>
          <w:b/>
          <w:smallCaps/>
        </w:rPr>
      </w:pPr>
      <w:r>
        <w:rPr>
          <w:rFonts w:ascii="Garamond" w:hAnsi="Garamond"/>
        </w:rPr>
        <w:t>OPZIONE:</w:t>
        <w:tab/>
        <w:tab/>
        <w:tab/>
        <w:t xml:space="preserve">            </w:t>
      </w:r>
      <w:r>
        <w:rPr>
          <w:rFonts w:ascii="Garamond" w:hAnsi="Garamond"/>
          <w:b/>
          <w:smallCaps/>
          <w:color w:val="002060"/>
        </w:rPr>
        <w:t>Conduzione del Mezzo Navale</w:t>
      </w:r>
      <w:r>
        <w:rPr>
          <w:rFonts w:ascii="Garamond" w:hAnsi="Garamond"/>
          <w:b/>
          <w:smallCaps/>
        </w:rPr>
        <w:t xml:space="preserve"> </w:t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  <w:b/>
          <w:b/>
          <w:color w:val="002060"/>
        </w:rPr>
      </w:pPr>
      <w:r>
        <w:rPr>
          <w:rFonts w:ascii="Garamond" w:hAnsi="Garamond"/>
        </w:rPr>
        <w:t xml:space="preserve">CLASSE:     </w:t>
      </w:r>
      <w:r>
        <w:rPr>
          <w:rFonts w:ascii="Garamond" w:hAnsi="Garamond"/>
          <w:b/>
          <w:color w:val="002060"/>
        </w:rPr>
        <w:t>V</w:t>
      </w:r>
      <w:r>
        <w:rPr>
          <w:rFonts w:ascii="Garamond" w:hAnsi="Garamond"/>
        </w:rPr>
        <w:t xml:space="preserve">     LOG</w:t>
        <w:tab/>
        <w:tab/>
        <w:tab/>
        <w:tab/>
        <w:tab/>
        <w:tab/>
        <w:tab/>
        <w:tab/>
        <w:t xml:space="preserve">A.S. </w:t>
        <w:tab/>
      </w:r>
      <w:r>
        <w:rPr>
          <w:rFonts w:ascii="Garamond" w:hAnsi="Garamond"/>
          <w:b/>
          <w:color w:val="002060"/>
        </w:rPr>
        <w:t>2022/2023</w:t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  <w:b/>
          <w:b/>
          <w:smallCaps/>
          <w:color w:val="002060"/>
          <w:sz w:val="44"/>
          <w:szCs w:val="44"/>
        </w:rPr>
      </w:pPr>
      <w:r>
        <w:rPr>
          <w:rFonts w:ascii="Garamond" w:hAnsi="Garamond"/>
        </w:rPr>
        <w:t xml:space="preserve">DISCIPLINA:   </w:t>
        <w:tab/>
      </w:r>
      <w:r>
        <w:rPr>
          <w:rFonts w:ascii="Garamond" w:hAnsi="Garamond"/>
          <w:b/>
          <w:smallCaps/>
          <w:color w:val="002060"/>
          <w:sz w:val="44"/>
          <w:szCs w:val="44"/>
        </w:rPr>
        <w:t xml:space="preserve"> Inglese</w:t>
      </w:r>
    </w:p>
    <w:p>
      <w:pPr>
        <w:pStyle w:val="Normal"/>
        <w:spacing w:before="60" w:after="60"/>
        <w:rPr>
          <w:rFonts w:ascii="Garamond" w:hAnsi="Garamond"/>
          <w:b/>
          <w:b/>
          <w:smallCaps/>
          <w:color w:val="002060"/>
          <w:sz w:val="44"/>
          <w:szCs w:val="44"/>
        </w:rPr>
      </w:pPr>
      <w:r>
        <w:rPr>
          <w:rFonts w:ascii="Garamond" w:hAnsi="Garamond"/>
          <w:b/>
          <w:smallCaps/>
          <w:color w:val="002060"/>
          <w:sz w:val="44"/>
          <w:szCs w:val="44"/>
        </w:rPr>
      </w:r>
    </w:p>
    <w:p>
      <w:pPr>
        <w:pStyle w:val="Normal"/>
        <w:spacing w:before="60" w:after="60"/>
        <w:rPr>
          <w:rFonts w:ascii="Garamond" w:hAnsi="Garamond"/>
          <w:b/>
          <w:b/>
          <w:smallCaps/>
          <w:color w:val="002060"/>
          <w:sz w:val="44"/>
          <w:szCs w:val="44"/>
        </w:rPr>
      </w:pPr>
      <w:r>
        <w:rPr>
          <w:rFonts w:ascii="Garamond" w:hAnsi="Garamond"/>
          <w:b/>
          <w:smallCaps/>
          <w:color w:val="002060"/>
          <w:sz w:val="44"/>
          <w:szCs w:val="44"/>
        </w:rPr>
      </w:r>
    </w:p>
    <w:p>
      <w:pPr>
        <w:pStyle w:val="Normal"/>
        <w:spacing w:before="60" w:after="60"/>
        <w:rPr>
          <w:rFonts w:ascii="Garamond" w:hAnsi="Garamond"/>
          <w:b/>
          <w:b/>
          <w:smallCaps/>
          <w:color w:val="002060"/>
        </w:rPr>
      </w:pPr>
      <w:r>
        <w:rPr>
          <w:rFonts w:ascii="Garamond" w:hAnsi="Garamond"/>
          <w:b/>
          <w:smallCaps/>
          <w:color w:val="002060"/>
        </w:rPr>
      </w:r>
    </w:p>
    <w:p>
      <w:pPr>
        <w:pStyle w:val="Normal"/>
        <w:spacing w:before="60" w:after="60"/>
        <w:rPr>
          <w:rFonts w:ascii="Garamond" w:hAnsi="Garamond"/>
          <w:b/>
          <w:b/>
          <w:smallCaps/>
          <w:color w:val="002060"/>
        </w:rPr>
      </w:pPr>
      <w:r>
        <w:rPr>
          <w:rFonts w:ascii="Garamond" w:hAnsi="Garamond"/>
          <w:b/>
          <w:smallCaps/>
          <w:color w:val="002060"/>
        </w:rPr>
      </w:r>
    </w:p>
    <w:p>
      <w:pPr>
        <w:pStyle w:val="Normal"/>
        <w:spacing w:before="60" w:after="60"/>
        <w:rPr>
          <w:rFonts w:ascii="Garamond" w:hAnsi="Garamond"/>
          <w:b/>
          <w:b/>
          <w:smallCaps/>
          <w:color w:val="002060"/>
        </w:rPr>
      </w:pPr>
      <w:r>
        <w:rPr>
          <w:rFonts w:ascii="Garamond" w:hAnsi="Garamond"/>
          <w:b/>
          <w:smallCaps/>
          <w:color w:val="002060"/>
        </w:rPr>
      </w:r>
    </w:p>
    <w:p>
      <w:pPr>
        <w:pStyle w:val="Normal"/>
        <w:spacing w:before="60" w:after="60"/>
        <w:rPr>
          <w:rFonts w:ascii="Garamond" w:hAnsi="Garamond"/>
          <w:b/>
          <w:b/>
          <w:smallCaps/>
          <w:color w:val="002060"/>
        </w:rPr>
      </w:pPr>
      <w:r>
        <w:rPr>
          <w:rFonts w:ascii="Garamond" w:hAnsi="Garamond"/>
          <w:b/>
          <w:smallCaps/>
          <w:color w:val="002060"/>
        </w:rPr>
      </w:r>
    </w:p>
    <w:p>
      <w:pPr>
        <w:pStyle w:val="Normal"/>
        <w:spacing w:before="60" w:after="60"/>
        <w:rPr>
          <w:rFonts w:ascii="Garamond" w:hAnsi="Garamond"/>
          <w:b/>
          <w:b/>
          <w:smallCaps/>
          <w:color w:val="002060"/>
        </w:rPr>
      </w:pPr>
      <w:r>
        <w:rPr>
          <w:rFonts w:ascii="Garamond" w:hAnsi="Garamond"/>
          <w:b/>
          <w:smallCaps/>
          <w:color w:val="002060"/>
        </w:rPr>
        <w:t>Docente.Cinzia Guastini</w:t>
      </w:r>
    </w:p>
    <w:p>
      <w:pPr>
        <w:pStyle w:val="Normal"/>
        <w:spacing w:before="60" w:after="60"/>
        <w:rPr>
          <w:rFonts w:ascii="Garamond" w:hAnsi="Garamond"/>
          <w:b/>
          <w:b/>
          <w:smallCaps/>
          <w:color w:val="002060"/>
          <w:sz w:val="44"/>
          <w:szCs w:val="44"/>
        </w:rPr>
      </w:pPr>
      <w:r>
        <w:rPr>
          <w:rFonts w:ascii="Garamond" w:hAnsi="Garamond"/>
          <w:b/>
          <w:smallCaps/>
          <w:color w:val="002060"/>
          <w:sz w:val="44"/>
          <w:szCs w:val="44"/>
        </w:rPr>
      </w:r>
    </w:p>
    <w:p>
      <w:pPr>
        <w:pStyle w:val="Normal"/>
        <w:spacing w:before="60" w:after="60"/>
        <w:rPr>
          <w:rFonts w:ascii="Garamond" w:hAnsi="Garamond"/>
          <w:b/>
          <w:b/>
          <w:smallCaps/>
        </w:rPr>
      </w:pPr>
      <w:r>
        <w:rPr>
          <w:rFonts w:ascii="Garamond" w:hAnsi="Garamond"/>
          <w:b/>
          <w:smallCaps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42"/>
        <w:gridCol w:w="1560"/>
        <w:gridCol w:w="7619"/>
      </w:tblGrid>
      <w:tr>
        <w:trPr/>
        <w:tc>
          <w:tcPr>
            <w:tcW w:w="1242" w:type="dxa"/>
            <w:tcBorders>
              <w:top w:val="single" w:sz="8" w:space="0" w:color="4F81BD"/>
              <w:bottom w:val="single" w:sz="8" w:space="0" w:color="4F81BD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9179" w:type="dxa"/>
            <w:gridSpan w:val="2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  <w:t>Tavola delle Competenze previste dalla Regola A-II/1 – STCW 95 Emended Manila 2010</w:t>
            </w:r>
          </w:p>
        </w:tc>
      </w:tr>
      <w:tr>
        <w:trPr/>
        <w:tc>
          <w:tcPr>
            <w:tcW w:w="1242" w:type="dxa"/>
            <w:tcBorders/>
            <w:shd w:color="auto" w:fill="D3DFEE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  <w:t>Funzione</w:t>
            </w:r>
          </w:p>
        </w:tc>
        <w:tc>
          <w:tcPr>
            <w:tcW w:w="1560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color w:val="365F91"/>
              </w:rPr>
            </w:pPr>
            <w:r>
              <w:rPr>
                <w:rFonts w:ascii="Garamond" w:hAnsi="Garamond"/>
                <w:b/>
                <w:color w:val="365F91"/>
              </w:rPr>
              <w:t>Competenza</w:t>
            </w:r>
          </w:p>
        </w:tc>
        <w:tc>
          <w:tcPr>
            <w:tcW w:w="7619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color w:val="365F91"/>
              </w:rPr>
            </w:pPr>
            <w:r>
              <w:rPr>
                <w:rFonts w:ascii="Garamond" w:hAnsi="Garamond"/>
                <w:b/>
                <w:color w:val="365F91"/>
              </w:rPr>
              <w:t>Descrizione</w:t>
            </w:r>
          </w:p>
        </w:tc>
      </w:tr>
      <w:tr>
        <w:trPr/>
        <w:tc>
          <w:tcPr>
            <w:tcW w:w="1242" w:type="dxa"/>
            <w:vMerge w:val="restart"/>
            <w:tcBorders/>
            <w:textDirection w:val="btLr"/>
            <w:vAlign w:val="center"/>
          </w:tcPr>
          <w:p>
            <w:pPr>
              <w:pStyle w:val="Normal"/>
              <w:widowControl w:val="false"/>
              <w:spacing w:before="60" w:after="60"/>
              <w:ind w:left="113" w:right="113" w:hanging="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  <w:t>Navigazione a Livello Operativo</w:t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I</w:t>
            </w:r>
          </w:p>
        </w:tc>
        <w:tc>
          <w:tcPr>
            <w:tcW w:w="761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>
        <w:trPr/>
        <w:tc>
          <w:tcPr>
            <w:tcW w:w="1242" w:type="dxa"/>
            <w:vMerge w:val="continue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II</w:t>
            </w:r>
          </w:p>
        </w:tc>
        <w:tc>
          <w:tcPr>
            <w:tcW w:w="7619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>
        <w:trPr/>
        <w:tc>
          <w:tcPr>
            <w:tcW w:w="12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III</w:t>
            </w:r>
          </w:p>
        </w:tc>
        <w:tc>
          <w:tcPr>
            <w:tcW w:w="761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>
        <w:trPr/>
        <w:tc>
          <w:tcPr>
            <w:tcW w:w="1242" w:type="dxa"/>
            <w:vMerge w:val="continue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IV</w:t>
            </w:r>
          </w:p>
        </w:tc>
        <w:tc>
          <w:tcPr>
            <w:tcW w:w="7619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>
        <w:trPr/>
        <w:tc>
          <w:tcPr>
            <w:tcW w:w="12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V</w:t>
            </w:r>
          </w:p>
        </w:tc>
        <w:tc>
          <w:tcPr>
            <w:tcW w:w="7619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Risponde alle emergenze</w:t>
            </w:r>
          </w:p>
        </w:tc>
      </w:tr>
      <w:tr>
        <w:trPr/>
        <w:tc>
          <w:tcPr>
            <w:tcW w:w="1242" w:type="dxa"/>
            <w:vMerge w:val="continue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VI</w:t>
            </w:r>
          </w:p>
        </w:tc>
        <w:tc>
          <w:tcPr>
            <w:tcW w:w="7619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>
        <w:trPr/>
        <w:tc>
          <w:tcPr>
            <w:tcW w:w="12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VII</w:t>
            </w:r>
          </w:p>
        </w:tc>
        <w:tc>
          <w:tcPr>
            <w:tcW w:w="7619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Usa l’IMO Standard Marine Communication Phrases e usa l’Inglese nella forma scritta e orale</w:t>
            </w:r>
          </w:p>
        </w:tc>
      </w:tr>
      <w:tr>
        <w:trPr/>
        <w:tc>
          <w:tcPr>
            <w:tcW w:w="1242" w:type="dxa"/>
            <w:vMerge w:val="continue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VIII</w:t>
            </w:r>
          </w:p>
        </w:tc>
        <w:tc>
          <w:tcPr>
            <w:tcW w:w="7619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>
        <w:trPr/>
        <w:tc>
          <w:tcPr>
            <w:tcW w:w="12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IX</w:t>
            </w:r>
          </w:p>
        </w:tc>
        <w:tc>
          <w:tcPr>
            <w:tcW w:w="7619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Manovra la nave</w:t>
            </w:r>
          </w:p>
        </w:tc>
      </w:tr>
      <w:tr>
        <w:trPr/>
        <w:tc>
          <w:tcPr>
            <w:tcW w:w="1242" w:type="dxa"/>
            <w:vMerge w:val="restart"/>
            <w:tcBorders/>
            <w:shd w:color="auto" w:fill="D3DFEE" w:val="clear"/>
            <w:textDirection w:val="btLr"/>
            <w:vAlign w:val="center"/>
          </w:tcPr>
          <w:p>
            <w:pPr>
              <w:pStyle w:val="Normal"/>
              <w:widowControl w:val="false"/>
              <w:spacing w:before="60" w:after="60"/>
              <w:ind w:left="113" w:right="113" w:hanging="0"/>
              <w:jc w:val="center"/>
              <w:rPr>
                <w:rFonts w:ascii="Garamond" w:hAnsi="Garamond"/>
                <w:b/>
                <w:b/>
                <w:bCs/>
                <w:color w:val="365F91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365F91"/>
                <w:sz w:val="20"/>
                <w:szCs w:val="20"/>
              </w:rPr>
              <w:t>Maneggio e stivaggio del carico a livello operativo</w:t>
            </w:r>
          </w:p>
        </w:tc>
        <w:tc>
          <w:tcPr>
            <w:tcW w:w="1560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</w:t>
            </w:r>
          </w:p>
        </w:tc>
        <w:tc>
          <w:tcPr>
            <w:tcW w:w="7619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>
        <w:trPr/>
        <w:tc>
          <w:tcPr>
            <w:tcW w:w="12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XI</w:t>
            </w:r>
          </w:p>
        </w:tc>
        <w:tc>
          <w:tcPr>
            <w:tcW w:w="761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Controlla la caricazione, lo stivaggio, il rizzaggio, cura dei carichi durante il viaggio e loro discarica</w:t>
            </w:r>
          </w:p>
        </w:tc>
      </w:tr>
      <w:tr>
        <w:trPr/>
        <w:tc>
          <w:tcPr>
            <w:tcW w:w="1242" w:type="dxa"/>
            <w:vMerge w:val="continue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XII</w:t>
            </w:r>
          </w:p>
        </w:tc>
        <w:tc>
          <w:tcPr>
            <w:tcW w:w="7619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>
        <w:trPr/>
        <w:tc>
          <w:tcPr>
            <w:tcW w:w="1242" w:type="dxa"/>
            <w:vMerge w:val="restart"/>
            <w:tcBorders>
              <w:bottom w:val="single" w:sz="8" w:space="0" w:color="4F81BD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60" w:after="60"/>
              <w:ind w:left="113" w:right="113" w:hanging="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XIII</w:t>
            </w:r>
          </w:p>
        </w:tc>
        <w:tc>
          <w:tcPr>
            <w:tcW w:w="761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>
        <w:trPr/>
        <w:tc>
          <w:tcPr>
            <w:tcW w:w="1242" w:type="dxa"/>
            <w:vMerge w:val="continue"/>
            <w:tcBorders/>
            <w:shd w:color="auto" w:fill="D3DFEE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XIV</w:t>
            </w:r>
          </w:p>
        </w:tc>
        <w:tc>
          <w:tcPr>
            <w:tcW w:w="7619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Mantenere le condizioni di navigabilità (seaworthiness) della nave</w:t>
            </w:r>
          </w:p>
        </w:tc>
      </w:tr>
      <w:tr>
        <w:trPr/>
        <w:tc>
          <w:tcPr>
            <w:tcW w:w="1242" w:type="dxa"/>
            <w:vMerge w:val="continue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XV</w:t>
            </w:r>
          </w:p>
        </w:tc>
        <w:tc>
          <w:tcPr>
            <w:tcW w:w="761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color w:val="365F91"/>
              </w:rPr>
            </w:pPr>
            <w:r>
              <w:rPr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>
        <w:trPr/>
        <w:tc>
          <w:tcPr>
            <w:tcW w:w="1242" w:type="dxa"/>
            <w:vMerge w:val="continue"/>
            <w:tcBorders/>
            <w:shd w:color="auto" w:fill="D3DFEE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XVI</w:t>
            </w:r>
          </w:p>
        </w:tc>
        <w:tc>
          <w:tcPr>
            <w:tcW w:w="7619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rPr>
                <w:color w:val="365F91"/>
                <w:sz w:val="18"/>
                <w:szCs w:val="18"/>
              </w:rPr>
            </w:pPr>
            <w:r>
              <w:rPr>
                <w:color w:val="365F91"/>
                <w:sz w:val="18"/>
                <w:szCs w:val="18"/>
              </w:rPr>
              <w:t xml:space="preserve">Aziona </w:t>
            </w:r>
            <w:r>
              <w:rPr>
                <w:i/>
                <w:iCs/>
                <w:color w:val="365F91"/>
                <w:sz w:val="18"/>
                <w:szCs w:val="18"/>
              </w:rPr>
              <w:t xml:space="preserve">(operate) </w:t>
            </w:r>
            <w:r>
              <w:rPr>
                <w:color w:val="365F91"/>
                <w:sz w:val="18"/>
                <w:szCs w:val="18"/>
              </w:rPr>
              <w:t>i mezzi di salvataggio</w:t>
            </w:r>
          </w:p>
        </w:tc>
      </w:tr>
      <w:tr>
        <w:trPr/>
        <w:tc>
          <w:tcPr>
            <w:tcW w:w="1242" w:type="dxa"/>
            <w:vMerge w:val="continue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XVII</w:t>
            </w:r>
          </w:p>
        </w:tc>
        <w:tc>
          <w:tcPr>
            <w:tcW w:w="7619" w:type="dxa"/>
            <w:tcBorders/>
            <w:vAlign w:val="center"/>
          </w:tcPr>
          <w:p>
            <w:pPr>
              <w:pStyle w:val="Normal"/>
              <w:widowControl w:val="false"/>
              <w:rPr>
                <w:color w:val="365F91"/>
                <w:sz w:val="18"/>
                <w:szCs w:val="18"/>
              </w:rPr>
            </w:pPr>
            <w:r>
              <w:rPr>
                <w:color w:val="365F91"/>
                <w:sz w:val="18"/>
                <w:szCs w:val="18"/>
              </w:rPr>
              <w:t xml:space="preserve">Applica il pronto soccorso sanitario </w:t>
            </w:r>
            <w:r>
              <w:rPr>
                <w:i/>
                <w:iCs/>
                <w:color w:val="365F91"/>
                <w:sz w:val="18"/>
                <w:szCs w:val="18"/>
              </w:rPr>
              <w:t xml:space="preserve">(medical first aid) </w:t>
            </w:r>
            <w:r>
              <w:rPr>
                <w:color w:val="365F91"/>
                <w:sz w:val="18"/>
                <w:szCs w:val="18"/>
              </w:rPr>
              <w:t>a bordo della nave</w:t>
            </w:r>
          </w:p>
        </w:tc>
      </w:tr>
      <w:tr>
        <w:trPr/>
        <w:tc>
          <w:tcPr>
            <w:tcW w:w="1242" w:type="dxa"/>
            <w:vMerge w:val="continue"/>
            <w:tcBorders/>
            <w:shd w:color="auto" w:fill="D3DFEE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XVIII</w:t>
            </w:r>
          </w:p>
        </w:tc>
        <w:tc>
          <w:tcPr>
            <w:tcW w:w="7619" w:type="dxa"/>
            <w:tcBorders/>
            <w:shd w:color="auto" w:fill="D3DFEE" w:val="clear"/>
            <w:vAlign w:val="center"/>
          </w:tcPr>
          <w:p>
            <w:pPr>
              <w:pStyle w:val="Normal"/>
              <w:widowControl w:val="false"/>
              <w:rPr>
                <w:color w:val="365F91"/>
                <w:sz w:val="18"/>
                <w:szCs w:val="18"/>
              </w:rPr>
            </w:pPr>
            <w:r>
              <w:rPr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>
        <w:trPr/>
        <w:tc>
          <w:tcPr>
            <w:tcW w:w="1242" w:type="dxa"/>
            <w:vMerge w:val="continue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XIX</w:t>
            </w:r>
          </w:p>
        </w:tc>
        <w:tc>
          <w:tcPr>
            <w:tcW w:w="7619" w:type="dxa"/>
            <w:tcBorders/>
            <w:vAlign w:val="center"/>
          </w:tcPr>
          <w:p>
            <w:pPr>
              <w:pStyle w:val="Normal"/>
              <w:widowControl w:val="false"/>
              <w:rPr>
                <w:color w:val="365F91"/>
                <w:sz w:val="18"/>
                <w:szCs w:val="18"/>
              </w:rPr>
            </w:pPr>
            <w:r>
              <w:rPr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>
        <w:trPr/>
        <w:tc>
          <w:tcPr>
            <w:tcW w:w="1242" w:type="dxa"/>
            <w:vMerge w:val="continue"/>
            <w:tcBorders>
              <w:bottom w:val="single" w:sz="8" w:space="0" w:color="4F81BD"/>
            </w:tcBorders>
            <w:shd w:color="auto" w:fill="D3DFEE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b/>
                <w:b/>
                <w:bCs/>
                <w:color w:val="365F91"/>
              </w:rPr>
            </w:pPr>
            <w:r>
              <w:rPr>
                <w:rFonts w:ascii="Garamond" w:hAnsi="Garamond"/>
                <w:b/>
                <w:bCs/>
                <w:color w:val="365F91"/>
              </w:rPr>
            </w:r>
          </w:p>
        </w:tc>
        <w:tc>
          <w:tcPr>
            <w:tcW w:w="1560" w:type="dxa"/>
            <w:tcBorders>
              <w:bottom w:val="single" w:sz="8" w:space="0" w:color="4F81BD"/>
            </w:tcBorders>
            <w:shd w:color="auto" w:fill="D3DFEE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>
              <w:rPr>
                <w:rFonts w:ascii="Garamond" w:hAnsi="Garamond"/>
                <w:color w:val="365F91"/>
              </w:rPr>
              <w:t>XX</w:t>
            </w:r>
          </w:p>
        </w:tc>
        <w:tc>
          <w:tcPr>
            <w:tcW w:w="7619" w:type="dxa"/>
            <w:tcBorders>
              <w:bottom w:val="single" w:sz="8" w:space="0" w:color="4F81BD"/>
            </w:tcBorders>
            <w:shd w:color="auto" w:fill="D3DFEE" w:val="clear"/>
            <w:vAlign w:val="center"/>
          </w:tcPr>
          <w:p>
            <w:pPr>
              <w:pStyle w:val="Normal"/>
              <w:widowControl w:val="false"/>
              <w:rPr>
                <w:color w:val="365F91"/>
                <w:sz w:val="18"/>
                <w:szCs w:val="18"/>
              </w:rPr>
            </w:pPr>
            <w:r>
              <w:rPr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60" w:after="60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</w:r>
    </w:p>
    <w:p>
      <w:pPr>
        <w:sectPr>
          <w:type w:val="nextPage"/>
          <w:pgSz w:w="11906" w:h="16838"/>
          <w:pgMar w:left="1134" w:right="567" w:header="0" w:top="1134" w:footer="0" w:bottom="851" w:gutter="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rPr>
          <w:rFonts w:ascii="Garamond" w:hAnsi="Garamond" w:eastAsia="MS Mincho"/>
          <w:b/>
          <w:b/>
          <w:bCs/>
          <w:lang w:val="en-US" w:eastAsia="ja-JP"/>
        </w:rPr>
      </w:pPr>
      <w:r>
        <w:rPr>
          <w:rFonts w:ascii="Garamond" w:hAnsi="Garamond"/>
          <w:b/>
          <w:lang w:val="en-US"/>
        </w:rPr>
        <w:t>MODULO N. 1   SUPPLY CHAIN MANAGEMENT</w:t>
      </w:r>
    </w:p>
    <w:p>
      <w:pPr>
        <w:pStyle w:val="Normal"/>
        <w:rPr>
          <w:rFonts w:ascii="Garamond" w:hAnsi="Garamond"/>
          <w:b/>
          <w:b/>
          <w:sz w:val="12"/>
          <w:szCs w:val="12"/>
          <w:lang w:val="en-US"/>
        </w:rPr>
      </w:pPr>
      <w:r>
        <w:rPr>
          <w:rFonts w:ascii="Garamond" w:hAnsi="Garamond"/>
          <w:b/>
          <w:sz w:val="12"/>
          <w:szCs w:val="12"/>
          <w:lang w:val="en-US"/>
        </w:rPr>
      </w:r>
    </w:p>
    <w:tbl>
      <w:tblPr>
        <w:tblW w:w="10317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889"/>
        <w:gridCol w:w="7427"/>
      </w:tblGrid>
      <w:tr>
        <w:trPr>
          <w:trHeight w:val="418" w:hRule="atLeast"/>
          <w:cantSplit w:val="true"/>
        </w:trPr>
        <w:tc>
          <w:tcPr>
            <w:tcW w:w="10316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color="auto" w:fill="C0C0C0" w:val="clear"/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b w:val="false"/>
                <w:b w:val="false"/>
                <w:bCs w:val="false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Competenza (rif. STCW 95 Emended 2010)</w:t>
            </w:r>
          </w:p>
        </w:tc>
      </w:tr>
      <w:tr>
        <w:trPr>
          <w:trHeight w:val="325" w:hRule="atLeast"/>
        </w:trPr>
        <w:tc>
          <w:tcPr>
            <w:tcW w:w="10316" w:type="dxa"/>
            <w:gridSpan w:val="2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II  2nd: Use of English in written and oral form.</w: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lang w:val="en-US"/>
              </w:rPr>
              <w:t xml:space="preserve">             </w:t>
            </w:r>
            <w:r>
              <w:rPr/>
              <w:t>Usa la lingua inglese in forma scritta e parlata</w:t>
            </w:r>
          </w:p>
        </w:tc>
      </w:tr>
      <w:tr>
        <w:trPr>
          <w:trHeight w:val="925" w:hRule="atLeast"/>
        </w:trPr>
        <w:tc>
          <w:tcPr>
            <w:tcW w:w="10316" w:type="dxa"/>
            <w:gridSpan w:val="2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BFBFBF" w:val="clear"/>
          </w:tcPr>
          <w:p>
            <w:pPr>
              <w:pStyle w:val="Titolo2"/>
              <w:widowControl w:val="false"/>
              <w:spacing w:before="60" w:after="0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                                                </w:t>
            </w:r>
            <w:r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22"/>
                <w:szCs w:val="22"/>
              </w:rPr>
              <w:t>Padroneggiare la lingua inglese per scopi comunicativi e utilizzare i linguaggi settoriali relativi ai percorsi di studio, per interagire in diversi ambiti e contesti professionali, al livello B2 del quadro comune europeo di riferimento per le Lingue  ( QCER 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Individuare.e utilizzare gli strumenti di comunicazione e di team working più appropriati per intervenire nei contesti organizzativi e professionali di riferimento.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Redigere relazioni tecniche e documentare le attività individuali e di gruppo relarive a situazioni professionali.</w:t>
            </w:r>
          </w:p>
          <w:p>
            <w:pPr>
              <w:pStyle w:val="Normal"/>
              <w:widowControl w:val="false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 </w:t>
            </w:r>
          </w:p>
          <w:p>
            <w:pPr>
              <w:pStyle w:val="Normal"/>
              <w:widowControl w:val="false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</w:r>
          </w:p>
        </w:tc>
      </w:tr>
      <w:tr>
        <w:trPr>
          <w:trHeight w:val="878" w:hRule="atLeast"/>
        </w:trPr>
        <w:tc>
          <w:tcPr>
            <w:tcW w:w="288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Scienze della Navigazione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Logistica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Italiano </w:t>
            </w:r>
          </w:p>
          <w:p>
            <w:pPr>
              <w:pStyle w:val="Normal"/>
              <w:widowControl w:val="false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10316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002060" w:val="clear"/>
            <w:vAlign w:val="center"/>
          </w:tcPr>
          <w:p>
            <w:pPr>
              <w:pStyle w:val="Normal"/>
              <w:widowControl w:val="false"/>
              <w:ind w:left="68" w:right="181" w:hanging="0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>
        <w:trPr>
          <w:trHeight w:val="818" w:hRule="atLeast"/>
          <w:cantSplit w:val="true"/>
        </w:trPr>
        <w:tc>
          <w:tcPr>
            <w:tcW w:w="288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</w:r>
          </w:p>
        </w:tc>
        <w:tc>
          <w:tcPr>
            <w:tcW w:w="74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left="356" w:right="-1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Tipologie di SCM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left="356" w:right="-1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Lessico, fraseologia, struttura del discorso relativo a: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ind w:left="716" w:right="-1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Lean Logistics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ind w:left="716" w:right="-1" w:hanging="360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Market pressures and Logistic Systems</w:t>
            </w:r>
          </w:p>
          <w:p>
            <w:pPr>
              <w:pStyle w:val="Normal"/>
              <w:widowControl w:val="false"/>
              <w:ind w:right="-1" w:hanging="0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</w:r>
          </w:p>
          <w:p>
            <w:pPr>
              <w:pStyle w:val="Normal"/>
              <w:widowControl w:val="false"/>
              <w:ind w:right="-1" w:hanging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Linguaggio settoriale</w:t>
            </w:r>
          </w:p>
          <w:p>
            <w:pPr>
              <w:pStyle w:val="Normal"/>
              <w:widowControl w:val="false"/>
              <w:ind w:right="-1" w:hanging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Livello B2 QCER</w:t>
            </w:r>
          </w:p>
          <w:p>
            <w:pPr>
              <w:pStyle w:val="Normal"/>
              <w:widowControl w:val="false"/>
              <w:ind w:left="356" w:right="-1" w:hanging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585" w:hRule="atLeast"/>
        </w:trPr>
        <w:tc>
          <w:tcPr>
            <w:tcW w:w="10316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002060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68" w:right="181" w:hanging="0"/>
              <w:jc w:val="center"/>
              <w:rPr>
                <w:rFonts w:ascii="Garamond" w:hAnsi="Garamond"/>
                <w:b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ABILITA’</w:t>
            </w:r>
          </w:p>
        </w:tc>
      </w:tr>
      <w:tr>
        <w:trPr>
          <w:trHeight w:val="559" w:hRule="atLeast"/>
        </w:trPr>
        <w:tc>
          <w:tcPr>
            <w:tcW w:w="288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</w:r>
          </w:p>
        </w:tc>
        <w:tc>
          <w:tcPr>
            <w:tcW w:w="74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356" w:hanging="3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Comunicare con relativa spontaneità e operatività </w:t>
            </w:r>
            <w:r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 xml:space="preserve">su argomenti ordinari professionali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356" w:hanging="360"/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Compilare un questionario, una tabella, un documento anche specifico del settore logistico.</w:t>
            </w:r>
          </w:p>
          <w:p>
            <w:pPr>
              <w:pStyle w:val="ListParagraph"/>
              <w:widowControl w:val="false"/>
              <w:ind w:left="356" w:hanging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1162" w:hRule="atLeast"/>
        </w:trPr>
        <w:tc>
          <w:tcPr>
            <w:tcW w:w="288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356" w:hanging="360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The importance of Logistics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356" w:hanging="3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Just-In-Time System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356" w:hanging="360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Market pressures and Logistics Systems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356" w:hanging="360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Logistic solutions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356" w:hanging="360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Lean Logistics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356" w:hanging="360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How warehousing has changed</w:t>
            </w:r>
          </w:p>
        </w:tc>
      </w:tr>
    </w:tbl>
    <w:p>
      <w:pPr>
        <w:pStyle w:val="Normal"/>
        <w:rPr>
          <w:sz w:val="22"/>
          <w:szCs w:val="22"/>
          <w:lang w:val="en-US"/>
        </w:rPr>
      </w:pPr>
      <w:r>
        <w:rPr>
          <w:rFonts w:ascii="Garamond" w:hAnsi="Garamond"/>
          <w:b/>
          <w:bCs/>
          <w:lang w:val="en-US"/>
        </w:rPr>
        <w:tab/>
      </w:r>
    </w:p>
    <w:tbl>
      <w:tblPr>
        <w:tblW w:w="10317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857"/>
        <w:gridCol w:w="1551"/>
        <w:gridCol w:w="425"/>
        <w:gridCol w:w="1541"/>
        <w:gridCol w:w="159"/>
        <w:gridCol w:w="13"/>
        <w:gridCol w:w="1796"/>
        <w:gridCol w:w="1966"/>
        <w:gridCol w:w="8"/>
      </w:tblGrid>
      <w:tr>
        <w:trPr>
          <w:trHeight w:val="539" w:hRule="atLeast"/>
        </w:trPr>
        <w:tc>
          <w:tcPr>
            <w:tcW w:w="2857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Impegno Orario</w:t>
            </w:r>
          </w:p>
        </w:tc>
        <w:tc>
          <w:tcPr>
            <w:tcW w:w="1976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0" w:hanging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3" w:type="dxa"/>
            <w:gridSpan w:val="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0" w:hanging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>
        <w:trPr>
          <w:trHeight w:val="1121" w:hRule="atLeast"/>
        </w:trPr>
        <w:tc>
          <w:tcPr>
            <w:tcW w:w="2857" w:type="dxa"/>
            <w:vMerge w:val="continue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</w:r>
          </w:p>
        </w:tc>
        <w:tc>
          <w:tcPr>
            <w:tcW w:w="1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0" w:hanging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Periodo</w:t>
            </w:r>
          </w:p>
          <w:p>
            <w:pPr>
              <w:pStyle w:val="Normal"/>
              <w:widowControl w:val="false"/>
              <w:ind w:left="170" w:hanging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 Settembre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 Ottobre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 Novembre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Dicembre</w:t>
            </w:r>
          </w:p>
        </w:tc>
        <w:tc>
          <w:tcPr>
            <w:tcW w:w="1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Gennaio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Febbario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Marzo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Aprile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Maggio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Giugno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30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Metodi Formativi</w:t>
            </w:r>
          </w:p>
          <w:p>
            <w:pPr>
              <w:pStyle w:val="Normal"/>
              <w:widowControl w:val="false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hAnsi="Garamond"/>
                <w:color w:val="FF0000"/>
              </w:rPr>
            </w:r>
          </w:p>
        </w:tc>
        <w:tc>
          <w:tcPr>
            <w:tcW w:w="3689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laboratorio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debriefing</w:t>
            </w:r>
          </w:p>
          <w:p>
            <w:pPr>
              <w:pStyle w:val="Normal"/>
              <w:widowControl w:val="false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esercitazioni</w:t>
            </w:r>
          </w:p>
          <w:p>
            <w:pPr>
              <w:pStyle w:val="Normal"/>
              <w:widowControl w:val="false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dialogo formativo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problem solving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problem 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alternanza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  <w:lang w:val="en-US"/>
              </w:rPr>
              <w:t>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project work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simulazione – virtual Lab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e-learning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brain – storming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percorso autoapprendimento</w:t>
            </w:r>
          </w:p>
          <w:p>
            <w:pPr>
              <w:pStyle w:val="Normal"/>
              <w:widowControl w:val="false"/>
              <w:rPr>
                <w:rFonts w:ascii="Garamond" w:hAnsi="Garamond"/>
                <w:i/>
                <w:i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Altro: Cooperative Learning</w:t>
            </w:r>
          </w:p>
        </w:tc>
      </w:tr>
      <w:tr>
        <w:trPr>
          <w:trHeight w:val="795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Mezzi, strumenti</w:t>
            </w:r>
          </w:p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e sussidi </w:t>
            </w:r>
          </w:p>
          <w:p>
            <w:pPr>
              <w:pStyle w:val="Normal"/>
              <w:widowControl w:val="false"/>
              <w:jc w:val="center"/>
              <w:rPr>
                <w:rFonts w:ascii="Garamond" w:hAnsi="Garamond"/>
                <w:strike/>
              </w:rPr>
            </w:pPr>
            <w:r>
              <w:rPr>
                <w:rFonts w:eastAsia="MS Mincho" w:ascii="Garamond" w:hAnsi="Garamond"/>
                <w:i/>
                <w:sz w:val="18"/>
                <w:szCs w:val="18"/>
                <w:lang w:eastAsia="ja-JP"/>
              </w:rPr>
              <w:t>E’ possibile selezionare più voci</w:t>
            </w:r>
          </w:p>
        </w:tc>
        <w:tc>
          <w:tcPr>
            <w:tcW w:w="3689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 attrezzature di laboratorio    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</w:t>
            </w:r>
            <w:r>
              <w:rPr>
                <w:rFonts w:ascii="Garamond" w:hAnsi="Garamond"/>
                <w:sz w:val="22"/>
                <w:szCs w:val="22"/>
              </w:rPr>
              <w:t>PC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</w:t>
            </w:r>
            <w:r>
              <w:rPr>
                <w:rFonts w:ascii="Garamond" w:hAnsi="Garamond"/>
                <w:sz w:val="22"/>
                <w:szCs w:val="22"/>
              </w:rPr>
              <w:t>..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simulatore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monografie di apparati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virtual - lab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    dispense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  libro di testo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pubblicazioni ed e-book</w:t>
            </w:r>
          </w:p>
          <w:p>
            <w:pPr>
              <w:pStyle w:val="Normal"/>
              <w:widowControl w:val="false"/>
              <w:rPr>
                <w:rFonts w:ascii="Garamond" w:hAnsi="Garamond" w:eastAsia="MS Mincho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x  apparati multimediali</w:t>
            </w:r>
          </w:p>
          <w:p>
            <w:pPr>
              <w:pStyle w:val="Normal"/>
              <w:widowControl w:val="false"/>
              <w:rPr>
                <w:rFonts w:ascii="Garamond" w:hAnsi="Garamond" w:eastAsia="MS Mincho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strumenti per calcolo elettronico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Strumenti di misura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Cartografia tradiz. e/o elettronica</w:t>
            </w:r>
          </w:p>
          <w:p>
            <w:pPr>
              <w:pStyle w:val="Normal"/>
              <w:widowControl w:val="false"/>
              <w:rPr>
                <w:rFonts w:ascii="Garamond" w:hAnsi="Garamond" w:eastAsia="MS Mincho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Altro (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specificare) </w:t>
            </w:r>
            <w:r>
              <w:rPr>
                <w:rFonts w:ascii="Garamond" w:hAnsi="Garamond"/>
                <w:iCs/>
                <w:sz w:val="22"/>
                <w:szCs w:val="22"/>
              </w:rPr>
              <w:t>materiale fornito sulla piattaforma scolastica Google Suite</w:t>
            </w:r>
          </w:p>
        </w:tc>
      </w:tr>
      <w:tr>
        <w:trPr>
          <w:trHeight w:val="625" w:hRule="atLeast"/>
        </w:trPr>
        <w:tc>
          <w:tcPr>
            <w:tcW w:w="10316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002060" w:val="clear"/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>
        <w:trPr>
          <w:trHeight w:val="1459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6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prova 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prova semistrutturata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relazione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saggio breve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soluzione di problemi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elaborazioni grafiche</w:t>
            </w:r>
          </w:p>
        </w:tc>
        <w:tc>
          <w:tcPr>
            <w:tcW w:w="378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4" wp14:anchorId="62539C48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4325" cy="266065"/>
                      <wp:effectExtent l="13335" t="8890" r="13970" b="13970"/>
                      <wp:wrapNone/>
                      <wp:docPr id="3" name="Casella di testo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3640" cy="265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Contenutocornice"/>
                                    <w:widowControl w:val="false"/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color w:val="000000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upright="1">
                              <a:spAutoFit/>
                            </wps:bodyPr>
                          </wps:wsp>
                        </a:graphicData>
                      </a:graphic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rect id="shape_0" ID="Casella di testo 6" path="m0,0l-2147483645,0l-2147483645,-2147483646l0,-2147483646xe" fillcolor="white" stroked="t" style="position:absolute;margin-left:26.55pt;margin-top:2.95pt;width:124.65pt;height:20.85pt;mso-wrap-style:square;v-text-anchor:top" wp14:anchorId="62539C48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tocornice"/>
                              <w:widowControl w:val="false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/>
                              </w:rPr>
                              <w:t>Criteri di Valutazione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20 %.</w:t>
            </w:r>
          </w:p>
        </w:tc>
      </w:tr>
      <w:tr>
        <w:trPr>
          <w:trHeight w:val="843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6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prova 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prova semi 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relazione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soluzione di problemi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elaborazioni grafiche</w:t>
            </w:r>
          </w:p>
        </w:tc>
        <w:tc>
          <w:tcPr>
            <w:tcW w:w="3783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</w:tr>
      <w:tr>
        <w:trPr>
          <w:trHeight w:val="416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9" w:type="dxa"/>
            <w:gridSpan w:val="8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>
        <w:trPr>
          <w:trHeight w:val="1022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Azioni di recupero ed  approfondimento</w:t>
            </w:r>
          </w:p>
        </w:tc>
        <w:tc>
          <w:tcPr>
            <w:tcW w:w="7459" w:type="dxa"/>
            <w:gridSpan w:val="8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Tutoraggio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>
      <w:pPr>
        <w:pStyle w:val="Normal"/>
        <w:rPr>
          <w:rFonts w:ascii="Garamond" w:hAnsi="Garamond" w:eastAsia="MS Mincho"/>
          <w:b/>
          <w:b/>
          <w:bCs/>
          <w:lang w:val="en-US" w:eastAsia="ja-JP"/>
        </w:rPr>
      </w:pPr>
      <w:r>
        <w:rPr>
          <w:rFonts w:ascii="Garamond" w:hAnsi="Garamond"/>
          <w:b/>
          <w:lang w:val="en-US"/>
        </w:rPr>
        <w:t>MODULO N. 2 LOGISTIC ISSUES: HOW TO HANDLE DIFFERENT CATEGORIES OF GOODS</w:t>
      </w:r>
    </w:p>
    <w:p>
      <w:pPr>
        <w:pStyle w:val="Normal"/>
        <w:rPr>
          <w:rFonts w:ascii="Garamond" w:hAnsi="Garamond"/>
          <w:b/>
          <w:b/>
          <w:sz w:val="12"/>
          <w:szCs w:val="12"/>
          <w:lang w:val="en-US"/>
        </w:rPr>
      </w:pPr>
      <w:r>
        <w:rPr>
          <w:rFonts w:ascii="Garamond" w:hAnsi="Garamond"/>
          <w:b/>
          <w:sz w:val="12"/>
          <w:szCs w:val="12"/>
          <w:lang w:val="en-US"/>
        </w:rPr>
      </w:r>
    </w:p>
    <w:tbl>
      <w:tblPr>
        <w:tblW w:w="10317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889"/>
        <w:gridCol w:w="7427"/>
      </w:tblGrid>
      <w:tr>
        <w:trPr>
          <w:trHeight w:val="504" w:hRule="atLeast"/>
          <w:cantSplit w:val="true"/>
        </w:trPr>
        <w:tc>
          <w:tcPr>
            <w:tcW w:w="10316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color="auto" w:fill="C0C0C0" w:val="clear"/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b w:val="false"/>
                <w:b w:val="false"/>
                <w:bCs w:val="false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Competenza (rif. STCW 95 Emended 2010)</w:t>
            </w:r>
          </w:p>
        </w:tc>
      </w:tr>
      <w:tr>
        <w:trPr>
          <w:trHeight w:val="325" w:hRule="atLeast"/>
        </w:trPr>
        <w:tc>
          <w:tcPr>
            <w:tcW w:w="10316" w:type="dxa"/>
            <w:gridSpan w:val="2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II  2nd: Use of English in written and oral form.</w: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lang w:val="en-US"/>
              </w:rPr>
              <w:t xml:space="preserve">             </w:t>
            </w:r>
            <w:r>
              <w:rPr/>
              <w:t>Usa la lingua inglese in forma scritta e parlata</w:t>
            </w:r>
          </w:p>
        </w:tc>
      </w:tr>
      <w:tr>
        <w:trPr>
          <w:trHeight w:val="925" w:hRule="atLeast"/>
        </w:trPr>
        <w:tc>
          <w:tcPr>
            <w:tcW w:w="10316" w:type="dxa"/>
            <w:gridSpan w:val="2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BFBFBF" w:val="clear"/>
          </w:tcPr>
          <w:p>
            <w:pPr>
              <w:pStyle w:val="Titolo2"/>
              <w:widowControl w:val="false"/>
              <w:spacing w:before="60" w:after="0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                                                </w:t>
            </w:r>
            <w:r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22"/>
                <w:szCs w:val="22"/>
              </w:rPr>
              <w:t>Padroneggiare la lingua inglese per scopi comunicativi e utilizzare i linguaggi settoriali relativi ai percorsi di studio, per interagire in diversi ambiti e contesti professionali, al livello B2 del quadro comune europeo di riferimento per le Lingue  ( QCER 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Individuare.e utilizzare gli strumenti di comunicazione e di team working più appropriati per intervenire nei contesti organizzativi e professionali di riferimento.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Redigere relazioni tecniche e documentare le attività individuali e di gruppo relarive a situazioni professionali.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</w:r>
          </w:p>
        </w:tc>
      </w:tr>
      <w:tr>
        <w:trPr>
          <w:trHeight w:val="878" w:hRule="atLeast"/>
        </w:trPr>
        <w:tc>
          <w:tcPr>
            <w:tcW w:w="288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Logistica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Italiano </w:t>
            </w:r>
          </w:p>
          <w:p>
            <w:pPr>
              <w:pStyle w:val="Normal"/>
              <w:widowControl w:val="false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10316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002060" w:val="clear"/>
            <w:vAlign w:val="center"/>
          </w:tcPr>
          <w:p>
            <w:pPr>
              <w:pStyle w:val="Normal"/>
              <w:widowControl w:val="false"/>
              <w:ind w:left="68" w:right="181" w:hanging="0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>
        <w:trPr>
          <w:trHeight w:val="818" w:hRule="atLeast"/>
          <w:cantSplit w:val="true"/>
        </w:trPr>
        <w:tc>
          <w:tcPr>
            <w:tcW w:w="288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</w:r>
          </w:p>
        </w:tc>
        <w:tc>
          <w:tcPr>
            <w:tcW w:w="74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Le diverse categorie di prodotti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Trasporto di merci fresche, farmaci e merci pericolose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Imballaggi</w:t>
            </w:r>
          </w:p>
          <w:p>
            <w:pPr>
              <w:pStyle w:val="Normal"/>
              <w:widowControl w:val="false"/>
              <w:ind w:left="356" w:hanging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585" w:hRule="atLeast"/>
        </w:trPr>
        <w:tc>
          <w:tcPr>
            <w:tcW w:w="10316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002060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68" w:right="181" w:hanging="0"/>
              <w:jc w:val="center"/>
              <w:rPr>
                <w:rFonts w:ascii="Garamond" w:hAnsi="Garamond"/>
                <w:b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ABILITA’</w:t>
            </w:r>
          </w:p>
          <w:p>
            <w:pPr>
              <w:pStyle w:val="Normal"/>
              <w:widowControl w:val="false"/>
              <w:spacing w:before="60" w:after="60"/>
              <w:ind w:left="68" w:right="181" w:hanging="0"/>
              <w:jc w:val="center"/>
              <w:rPr>
                <w:rFonts w:ascii="Garamond" w:hAnsi="Garamond"/>
                <w:b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</w:r>
          </w:p>
        </w:tc>
      </w:tr>
      <w:tr>
        <w:trPr>
          <w:trHeight w:val="559" w:hRule="atLeast"/>
        </w:trPr>
        <w:tc>
          <w:tcPr>
            <w:tcW w:w="288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</w:r>
          </w:p>
        </w:tc>
        <w:tc>
          <w:tcPr>
            <w:tcW w:w="74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Comprendere e compilare documenti relativi alle diverse tipologie merceologiche 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Comprendere, interpretare e sapere riferire sulle diverse modalità di trasporto per ogni categoria merceologica e sulle specifiche degli imballaggi</w:t>
            </w:r>
          </w:p>
        </w:tc>
      </w:tr>
      <w:tr>
        <w:trPr>
          <w:trHeight w:val="1162" w:hRule="atLeast"/>
        </w:trPr>
        <w:tc>
          <w:tcPr>
            <w:tcW w:w="288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356" w:hanging="3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Different Categories of Goods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356" w:hanging="3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Dangerous Goods Regulations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356" w:hanging="3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Packaging Specifications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356" w:hanging="360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Food Safety and the Cold Chain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356" w:hanging="360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How to Handle Pharmaceutical and Fresh Products</w:t>
            </w:r>
          </w:p>
        </w:tc>
      </w:tr>
    </w:tbl>
    <w:p>
      <w:pPr>
        <w:pStyle w:val="Normal"/>
        <w:rPr>
          <w:sz w:val="22"/>
          <w:szCs w:val="22"/>
          <w:lang w:val="en-US"/>
        </w:rPr>
      </w:pPr>
      <w:r>
        <w:rPr>
          <w:rFonts w:ascii="Garamond" w:hAnsi="Garamond"/>
          <w:b/>
          <w:bCs/>
          <w:lang w:val="en-US"/>
        </w:rPr>
        <w:tab/>
      </w:r>
    </w:p>
    <w:tbl>
      <w:tblPr>
        <w:tblW w:w="10317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857"/>
        <w:gridCol w:w="1551"/>
        <w:gridCol w:w="425"/>
        <w:gridCol w:w="1541"/>
        <w:gridCol w:w="159"/>
        <w:gridCol w:w="13"/>
        <w:gridCol w:w="1796"/>
        <w:gridCol w:w="1966"/>
        <w:gridCol w:w="8"/>
      </w:tblGrid>
      <w:tr>
        <w:trPr>
          <w:trHeight w:val="539" w:hRule="atLeast"/>
        </w:trPr>
        <w:tc>
          <w:tcPr>
            <w:tcW w:w="2857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Impegno Orario</w:t>
            </w:r>
          </w:p>
        </w:tc>
        <w:tc>
          <w:tcPr>
            <w:tcW w:w="1976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0" w:hanging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3" w:type="dxa"/>
            <w:gridSpan w:val="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0" w:hanging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</w:t>
            </w:r>
          </w:p>
        </w:tc>
      </w:tr>
      <w:tr>
        <w:trPr>
          <w:trHeight w:val="1121" w:hRule="atLeast"/>
        </w:trPr>
        <w:tc>
          <w:tcPr>
            <w:tcW w:w="2857" w:type="dxa"/>
            <w:vMerge w:val="continue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</w:r>
          </w:p>
        </w:tc>
        <w:tc>
          <w:tcPr>
            <w:tcW w:w="1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0" w:hanging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Periodo</w:t>
            </w:r>
          </w:p>
          <w:p>
            <w:pPr>
              <w:pStyle w:val="Normal"/>
              <w:widowControl w:val="false"/>
              <w:ind w:left="170" w:hanging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eastAsia="MS Mincho" w:ascii="Garamond" w:hAnsi="Garamond"/>
                <w:i/>
                <w:sz w:val="16"/>
                <w:szCs w:val="16"/>
                <w:lang w:eastAsia="ja-JP"/>
              </w:rPr>
              <w:t>(E’ possibile selezionare più voci)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</w:t>
            </w:r>
            <w:r>
              <w:rPr>
                <w:rFonts w:ascii="Garamond" w:hAnsi="Garamond"/>
                <w:sz w:val="22"/>
                <w:szCs w:val="22"/>
              </w:rPr>
              <w:t>Settembre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</w:t>
            </w:r>
            <w:r>
              <w:rPr>
                <w:rFonts w:ascii="Garamond" w:hAnsi="Garamond"/>
                <w:sz w:val="22"/>
                <w:szCs w:val="22"/>
              </w:rPr>
              <w:t>Ottobre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</w:t>
            </w:r>
            <w:r>
              <w:rPr>
                <w:rFonts w:ascii="Garamond" w:hAnsi="Garamond"/>
                <w:sz w:val="22"/>
                <w:szCs w:val="22"/>
              </w:rPr>
              <w:t>Novembre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   Dicembre</w:t>
            </w:r>
          </w:p>
        </w:tc>
        <w:tc>
          <w:tcPr>
            <w:tcW w:w="1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   Gennaio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Febbario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Marzo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Aprile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Maggio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Giugno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30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Metodi Formativi</w:t>
            </w:r>
          </w:p>
          <w:p>
            <w:pPr>
              <w:pStyle w:val="Normal"/>
              <w:widowControl w:val="false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hAnsi="Garamond"/>
                <w:color w:val="FF0000"/>
              </w:rPr>
            </w:r>
          </w:p>
        </w:tc>
        <w:tc>
          <w:tcPr>
            <w:tcW w:w="3689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laboratorio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de briefing</w:t>
            </w:r>
          </w:p>
          <w:p>
            <w:pPr>
              <w:pStyle w:val="Normal"/>
              <w:widowControl w:val="false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esercitazioni</w:t>
            </w:r>
          </w:p>
          <w:p>
            <w:pPr>
              <w:pStyle w:val="Normal"/>
              <w:widowControl w:val="false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dialogo formativo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problem solving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problem 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alternanza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  <w:lang w:val="en-US"/>
              </w:rPr>
              <w:t>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project work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simulazione – virtual Lab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e-learning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brain – storming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percorso autoapprendimento</w:t>
            </w:r>
          </w:p>
          <w:p>
            <w:pPr>
              <w:pStyle w:val="Normal"/>
              <w:widowControl w:val="false"/>
              <w:rPr>
                <w:rFonts w:ascii="Garamond" w:hAnsi="Garamond"/>
                <w:i/>
                <w:i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Altro: Cooperative Learning</w:t>
            </w:r>
          </w:p>
        </w:tc>
      </w:tr>
      <w:tr>
        <w:trPr>
          <w:trHeight w:val="795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Mezzi, strumenti</w:t>
            </w:r>
          </w:p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e sussidi</w:t>
            </w:r>
          </w:p>
        </w:tc>
        <w:tc>
          <w:tcPr>
            <w:tcW w:w="3689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 attrezzature di laboratorio    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</w:t>
            </w:r>
            <w:r>
              <w:rPr>
                <w:rFonts w:ascii="Garamond" w:hAnsi="Garamond"/>
                <w:sz w:val="22"/>
                <w:szCs w:val="22"/>
              </w:rPr>
              <w:t>PC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</w:t>
            </w:r>
            <w:r>
              <w:rPr>
                <w:rFonts w:ascii="Garamond" w:hAnsi="Garamond"/>
                <w:sz w:val="22"/>
                <w:szCs w:val="22"/>
              </w:rPr>
              <w:t>..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 </w:t>
            </w:r>
            <w:r>
              <w:rPr>
                <w:rFonts w:ascii="Garamond" w:hAnsi="Garamond"/>
                <w:sz w:val="22"/>
                <w:szCs w:val="22"/>
              </w:rPr>
              <w:t>simulatore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monografie di apparati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virtual - lab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  dispense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  libro di testo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pubblicazioni ed e-book</w:t>
            </w:r>
          </w:p>
          <w:p>
            <w:pPr>
              <w:pStyle w:val="Normal"/>
              <w:widowControl w:val="false"/>
              <w:rPr>
                <w:rFonts w:ascii="Garamond" w:hAnsi="Garamond" w:eastAsia="MS Mincho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x  apparati multimediali</w:t>
            </w:r>
          </w:p>
          <w:p>
            <w:pPr>
              <w:pStyle w:val="Normal"/>
              <w:widowControl w:val="false"/>
              <w:rPr>
                <w:rFonts w:ascii="Garamond" w:hAnsi="Garamond" w:eastAsia="MS Mincho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strumenti per calcolo elettronico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Strumenti di misura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Cartografia tradiz. e/o elettronica</w:t>
            </w:r>
          </w:p>
          <w:p>
            <w:pPr>
              <w:pStyle w:val="Normal"/>
              <w:widowControl w:val="false"/>
              <w:rPr>
                <w:rFonts w:ascii="Garamond" w:hAnsi="Garamond" w:eastAsia="MS Mincho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Altro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</w:t>
            </w:r>
            <w:r>
              <w:rPr>
                <w:rFonts w:ascii="Garamond" w:hAnsi="Garamond"/>
                <w:iCs/>
                <w:sz w:val="22"/>
                <w:szCs w:val="22"/>
              </w:rPr>
              <w:t xml:space="preserve"> materiale fornito sulla piattaforma scolastica Google Suite</w:t>
            </w:r>
          </w:p>
        </w:tc>
      </w:tr>
      <w:tr>
        <w:trPr>
          <w:trHeight w:val="625" w:hRule="atLeast"/>
        </w:trPr>
        <w:tc>
          <w:tcPr>
            <w:tcW w:w="10316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002060" w:val="clear"/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>
        <w:trPr>
          <w:trHeight w:val="1459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6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prova 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prova semistrutturata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relazione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saggio breve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soluzione di problemi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elaborazioni grafiche</w:t>
            </w:r>
          </w:p>
        </w:tc>
        <w:tc>
          <w:tcPr>
            <w:tcW w:w="378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7" wp14:anchorId="4C3653FA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4325" cy="266065"/>
                      <wp:effectExtent l="13335" t="8890" r="13970" b="13970"/>
                      <wp:wrapNone/>
                      <wp:docPr id="5" name="Casella di testo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3640" cy="265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Contenutocornice"/>
                                    <w:widowControl w:val="false"/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color w:val="000000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upright="1">
                              <a:spAutoFit/>
                            </wps:bodyPr>
                          </wps:wsp>
                        </a:graphicData>
                      </a:graphic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rect id="shape_0" ID="Casella di testo 5" path="m0,0l-2147483645,0l-2147483645,-2147483646l0,-2147483646xe" fillcolor="white" stroked="t" style="position:absolute;margin-left:26.55pt;margin-top:2.95pt;width:124.65pt;height:20.85pt;mso-wrap-style:square;v-text-anchor:top" wp14:anchorId="4C3653FA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tocornice"/>
                              <w:widowControl w:val="false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/>
                              </w:rPr>
                              <w:t>Criteri di Valutazione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20 %.</w:t>
            </w:r>
          </w:p>
        </w:tc>
      </w:tr>
      <w:tr>
        <w:trPr>
          <w:trHeight w:val="843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6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prova 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prova semistrutturata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relazione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soluzione di problemi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elaborazioni grafiche</w:t>
            </w:r>
          </w:p>
        </w:tc>
        <w:tc>
          <w:tcPr>
            <w:tcW w:w="3783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</w:tr>
      <w:tr>
        <w:trPr>
          <w:trHeight w:val="416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9" w:type="dxa"/>
            <w:gridSpan w:val="8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>
        <w:trPr>
          <w:trHeight w:val="1022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Azioni di recupero ed  approfondimento</w:t>
            </w:r>
          </w:p>
        </w:tc>
        <w:tc>
          <w:tcPr>
            <w:tcW w:w="7459" w:type="dxa"/>
            <w:gridSpan w:val="8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Tutoraggio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>
      <w:pPr>
        <w:pStyle w:val="Normal"/>
        <w:rPr>
          <w:rFonts w:ascii="Garamond" w:hAnsi="Garamond"/>
          <w:b/>
          <w:b/>
          <w:sz w:val="12"/>
          <w:szCs w:val="12"/>
          <w:lang w:val="en-US"/>
        </w:rPr>
      </w:pPr>
      <w:r>
        <w:rPr>
          <w:rFonts w:ascii="Garamond" w:hAnsi="Garamond"/>
          <w:b/>
          <w:lang w:val="en-US"/>
        </w:rPr>
        <w:t>MODULO N. 3  RISKS AND SAFETY AT THE WORKPLACE</w:t>
      </w:r>
    </w:p>
    <w:tbl>
      <w:tblPr>
        <w:tblW w:w="10317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889"/>
        <w:gridCol w:w="7427"/>
      </w:tblGrid>
      <w:tr>
        <w:trPr>
          <w:trHeight w:val="504" w:hRule="atLeast"/>
          <w:cantSplit w:val="true"/>
        </w:trPr>
        <w:tc>
          <w:tcPr>
            <w:tcW w:w="10316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color="auto" w:fill="C0C0C0" w:val="clear"/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b w:val="false"/>
                <w:b w:val="false"/>
                <w:bCs w:val="false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Competenza (rif. STCW 95 Emended 2010)</w:t>
            </w:r>
          </w:p>
        </w:tc>
      </w:tr>
      <w:tr>
        <w:trPr>
          <w:trHeight w:val="325" w:hRule="atLeast"/>
        </w:trPr>
        <w:tc>
          <w:tcPr>
            <w:tcW w:w="10316" w:type="dxa"/>
            <w:gridSpan w:val="2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II  2nd: Use of English in written and oral form.</w: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lang w:val="en-US"/>
              </w:rPr>
              <w:t xml:space="preserve">             </w:t>
            </w:r>
            <w:r>
              <w:rPr/>
              <w:t>Usa la lingua inglese in forma scritta e parlata</w:t>
            </w:r>
          </w:p>
        </w:tc>
      </w:tr>
      <w:tr>
        <w:trPr>
          <w:trHeight w:val="925" w:hRule="atLeast"/>
        </w:trPr>
        <w:tc>
          <w:tcPr>
            <w:tcW w:w="10316" w:type="dxa"/>
            <w:gridSpan w:val="2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BFBFBF" w:val="clear"/>
          </w:tcPr>
          <w:p>
            <w:pPr>
              <w:pStyle w:val="Titolo2"/>
              <w:widowControl w:val="false"/>
              <w:spacing w:before="60" w:after="0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                                                 </w:t>
            </w:r>
            <w:r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22"/>
                <w:szCs w:val="22"/>
              </w:rPr>
              <w:t>Padroneggiare la lingua inglese per scopi comunicativi e utilizzare i linguaggi settoriali relativi ai percorsi di studio, per interagire in diversi ambiti e contesti professionali, al livello B2 del quadro comune europeo di riferimento per le Lingue  ( QCER 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Individuare.e utilizzare gli strumenti di comunicazione e di team working più appropriati per intervenire nei contesti organizzativi e professionali di riferimento.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Redigere relazioni tecniche e documentare le attività individuali e di gruppo relarive a situazioni professionali.</w:t>
            </w:r>
          </w:p>
          <w:p>
            <w:pPr>
              <w:pStyle w:val="Normal"/>
              <w:widowControl w:val="false"/>
              <w:ind w:left="356" w:hanging="0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</w:r>
          </w:p>
        </w:tc>
      </w:tr>
      <w:tr>
        <w:trPr>
          <w:trHeight w:val="878" w:hRule="atLeast"/>
        </w:trPr>
        <w:tc>
          <w:tcPr>
            <w:tcW w:w="288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720" w:hanging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Scienze della Navigazione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Elettrotecnica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Diritto</w:t>
            </w:r>
          </w:p>
          <w:p>
            <w:pPr>
              <w:pStyle w:val="Normal"/>
              <w:widowControl w:val="false"/>
              <w:ind w:left="356" w:hanging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10316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002060" w:val="clear"/>
            <w:vAlign w:val="center"/>
          </w:tcPr>
          <w:p>
            <w:pPr>
              <w:pStyle w:val="Normal"/>
              <w:widowControl w:val="false"/>
              <w:ind w:left="68" w:right="181" w:hanging="0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>
        <w:trPr>
          <w:trHeight w:val="818" w:hRule="atLeast"/>
          <w:cantSplit w:val="true"/>
        </w:trPr>
        <w:tc>
          <w:tcPr>
            <w:tcW w:w="288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</w:r>
          </w:p>
        </w:tc>
        <w:tc>
          <w:tcPr>
            <w:tcW w:w="74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Lessico specifico relativo alla sicurezza del posto di lavoro.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Lessico e fraseologia standard relativi ai rischi sul posto di lavoro: sistemi di protezione e prevenzione utilizzabili, nel rispetto delle normative nazionali e internazionali</w:t>
            </w:r>
          </w:p>
          <w:p>
            <w:pPr>
              <w:pStyle w:val="Normal"/>
              <w:widowControl w:val="false"/>
              <w:ind w:left="356" w:hanging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585" w:hRule="atLeast"/>
        </w:trPr>
        <w:tc>
          <w:tcPr>
            <w:tcW w:w="10316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002060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68" w:right="181" w:hanging="0"/>
              <w:jc w:val="center"/>
              <w:rPr>
                <w:rFonts w:ascii="Garamond" w:hAnsi="Garamond"/>
                <w:b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ABILITA’</w:t>
            </w:r>
          </w:p>
        </w:tc>
      </w:tr>
      <w:tr>
        <w:trPr>
          <w:trHeight w:val="559" w:hRule="atLeast"/>
        </w:trPr>
        <w:tc>
          <w:tcPr>
            <w:tcW w:w="288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</w:r>
          </w:p>
        </w:tc>
        <w:tc>
          <w:tcPr>
            <w:tcW w:w="74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 e interpretare i sistemi di protezione.</w:t>
            </w:r>
          </w:p>
        </w:tc>
      </w:tr>
      <w:tr>
        <w:trPr>
          <w:trHeight w:val="541" w:hRule="atLeast"/>
        </w:trPr>
        <w:tc>
          <w:tcPr>
            <w:tcW w:w="288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>
                <w:rFonts w:ascii="Garamond" w:hAnsi="Garamond"/>
                <w:b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Sicurezza sul lavoro, degli operatori, del mezzo e dell’ambiente</w:t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rFonts w:ascii="Garamond" w:hAnsi="Garamond"/>
          <w:b/>
          <w:bCs/>
        </w:rPr>
        <w:tab/>
      </w:r>
    </w:p>
    <w:tbl>
      <w:tblPr>
        <w:tblW w:w="10317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857"/>
        <w:gridCol w:w="1551"/>
        <w:gridCol w:w="425"/>
        <w:gridCol w:w="1541"/>
        <w:gridCol w:w="159"/>
        <w:gridCol w:w="13"/>
        <w:gridCol w:w="1796"/>
        <w:gridCol w:w="1966"/>
        <w:gridCol w:w="8"/>
      </w:tblGrid>
      <w:tr>
        <w:trPr>
          <w:trHeight w:val="539" w:hRule="atLeast"/>
        </w:trPr>
        <w:tc>
          <w:tcPr>
            <w:tcW w:w="2857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Impegno Orario</w:t>
            </w:r>
          </w:p>
        </w:tc>
        <w:tc>
          <w:tcPr>
            <w:tcW w:w="1976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0" w:hanging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3" w:type="dxa"/>
            <w:gridSpan w:val="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0" w:hanging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</w:t>
            </w:r>
          </w:p>
        </w:tc>
      </w:tr>
      <w:tr>
        <w:trPr>
          <w:trHeight w:val="1121" w:hRule="atLeast"/>
        </w:trPr>
        <w:tc>
          <w:tcPr>
            <w:tcW w:w="2857" w:type="dxa"/>
            <w:vMerge w:val="continue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</w:r>
          </w:p>
        </w:tc>
        <w:tc>
          <w:tcPr>
            <w:tcW w:w="1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0" w:hanging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Periodo</w:t>
            </w:r>
          </w:p>
          <w:p>
            <w:pPr>
              <w:pStyle w:val="Normal"/>
              <w:widowControl w:val="false"/>
              <w:ind w:left="170" w:hanging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Settembre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Ottobre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Novembre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Dicembre</w:t>
            </w:r>
          </w:p>
        </w:tc>
        <w:tc>
          <w:tcPr>
            <w:tcW w:w="1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x Gennaio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 Febbraio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 Marzo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Aprile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Maggio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Giugno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30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Metodi Formativi</w:t>
            </w:r>
          </w:p>
          <w:p>
            <w:pPr>
              <w:pStyle w:val="Normal"/>
              <w:widowControl w:val="false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hAnsi="Garamond"/>
                <w:color w:val="FF0000"/>
              </w:rPr>
            </w:r>
          </w:p>
        </w:tc>
        <w:tc>
          <w:tcPr>
            <w:tcW w:w="3689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laboratorio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de briefing</w:t>
            </w:r>
          </w:p>
          <w:p>
            <w:pPr>
              <w:pStyle w:val="Normal"/>
              <w:widowControl w:val="false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esercitazioni</w:t>
            </w:r>
          </w:p>
          <w:p>
            <w:pPr>
              <w:pStyle w:val="Normal"/>
              <w:widowControl w:val="false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dialogo formativo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problem solving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problem 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alternanza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  <w:lang w:val="en-US"/>
              </w:rPr>
              <w:t>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project work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simulazione – virtual Lab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e-learning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brain – storming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percorso autoapprendimento</w:t>
            </w:r>
          </w:p>
          <w:p>
            <w:pPr>
              <w:pStyle w:val="Normal"/>
              <w:widowControl w:val="false"/>
              <w:rPr>
                <w:rFonts w:ascii="Garamond" w:hAnsi="Garamond"/>
                <w:i/>
                <w:i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Altro: Cooperative Learning</w:t>
            </w:r>
          </w:p>
        </w:tc>
      </w:tr>
      <w:tr>
        <w:trPr>
          <w:trHeight w:val="795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Mezzi, strumenti</w:t>
            </w:r>
          </w:p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e sussidi </w:t>
            </w:r>
          </w:p>
          <w:p>
            <w:pPr>
              <w:pStyle w:val="Normal"/>
              <w:widowControl w:val="false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hAnsi="Garamond"/>
                <w:strike/>
              </w:rPr>
            </w:r>
          </w:p>
        </w:tc>
        <w:tc>
          <w:tcPr>
            <w:tcW w:w="3689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 attrezzature di laboratorio    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</w:t>
            </w:r>
            <w:r>
              <w:rPr>
                <w:rFonts w:ascii="Garamond" w:hAnsi="Garamond"/>
                <w:sz w:val="22"/>
                <w:szCs w:val="22"/>
              </w:rPr>
              <w:t>PC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</w:t>
            </w:r>
            <w:r>
              <w:rPr>
                <w:rFonts w:ascii="Garamond" w:hAnsi="Garamond"/>
                <w:sz w:val="22"/>
                <w:szCs w:val="22"/>
              </w:rPr>
              <w:t>..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>. simulatore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monografie di apparati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virtual - lab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  dispense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  libro di testo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pubblicazioni ed e-book</w:t>
            </w:r>
          </w:p>
          <w:p>
            <w:pPr>
              <w:pStyle w:val="Normal"/>
              <w:widowControl w:val="false"/>
              <w:rPr>
                <w:rFonts w:ascii="Garamond" w:hAnsi="Garamond" w:eastAsia="MS Mincho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x  apparati multimediali</w:t>
            </w:r>
          </w:p>
          <w:p>
            <w:pPr>
              <w:pStyle w:val="Normal"/>
              <w:widowControl w:val="false"/>
              <w:rPr>
                <w:rFonts w:ascii="Garamond" w:hAnsi="Garamond" w:eastAsia="MS Mincho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strumenti per calcolo elettronico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Strumenti di misura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Cartografia tradiz. e/o elettronica</w:t>
            </w:r>
          </w:p>
          <w:p>
            <w:pPr>
              <w:pStyle w:val="Normal"/>
              <w:widowControl w:val="false"/>
              <w:rPr>
                <w:rFonts w:ascii="Garamond" w:hAnsi="Garamond" w:eastAsia="MS Mincho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Altro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</w:t>
            </w:r>
            <w:r>
              <w:rPr>
                <w:rFonts w:ascii="Garamond" w:hAnsi="Garamond"/>
                <w:iCs/>
                <w:sz w:val="22"/>
                <w:szCs w:val="22"/>
              </w:rPr>
              <w:t xml:space="preserve"> materiale fornito sulla piattaforma scolastica Google Suite</w:t>
            </w:r>
          </w:p>
        </w:tc>
      </w:tr>
      <w:tr>
        <w:trPr>
          <w:trHeight w:val="625" w:hRule="atLeast"/>
        </w:trPr>
        <w:tc>
          <w:tcPr>
            <w:tcW w:w="10316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002060" w:val="clear"/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>
        <w:trPr>
          <w:trHeight w:val="1459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6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prova 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prova semistrutturata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relazione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saggio breve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soluzione di problemi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elaborazioni grafiche</w:t>
            </w:r>
          </w:p>
        </w:tc>
        <w:tc>
          <w:tcPr>
            <w:tcW w:w="378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8" wp14:anchorId="531601BF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4325" cy="266065"/>
                      <wp:effectExtent l="13335" t="8890" r="13970" b="13970"/>
                      <wp:wrapNone/>
                      <wp:docPr id="7" name="Casella di testo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3640" cy="265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Contenutocornice"/>
                                    <w:widowControl w:val="false"/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color w:val="000000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upright="1">
                              <a:spAutoFit/>
                            </wps:bodyPr>
                          </wps:wsp>
                        </a:graphicData>
                      </a:graphic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rect id="shape_0" ID="Casella di testo 4" path="m0,0l-2147483645,0l-2147483645,-2147483646l0,-2147483646xe" fillcolor="white" stroked="t" style="position:absolute;margin-left:26.55pt;margin-top:2.95pt;width:124.65pt;height:20.85pt;mso-wrap-style:square;v-text-anchor:top" wp14:anchorId="531601BF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tocornice"/>
                              <w:widowControl w:val="false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/>
                              </w:rPr>
                              <w:t>Criteri di Valutazione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20 %.</w:t>
            </w:r>
          </w:p>
        </w:tc>
      </w:tr>
      <w:tr>
        <w:trPr>
          <w:trHeight w:val="843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6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prova 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prova semistrutturata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relazione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soluzione di problemi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elaborazioni grafiche</w:t>
            </w:r>
          </w:p>
        </w:tc>
        <w:tc>
          <w:tcPr>
            <w:tcW w:w="3783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</w:tr>
      <w:tr>
        <w:trPr>
          <w:trHeight w:val="416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9" w:type="dxa"/>
            <w:gridSpan w:val="8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>
        <w:trPr>
          <w:trHeight w:val="1022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Azioni di recupero ed  approfondimento</w:t>
            </w:r>
          </w:p>
        </w:tc>
        <w:tc>
          <w:tcPr>
            <w:tcW w:w="7459" w:type="dxa"/>
            <w:gridSpan w:val="8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Tutoraggio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>
      <w:pPr>
        <w:pStyle w:val="Normal"/>
        <w:rPr>
          <w:rFonts w:ascii="Garamond" w:hAnsi="Garamond"/>
          <w:b/>
          <w:b/>
          <w:lang w:val="en-US"/>
        </w:rPr>
      </w:pPr>
      <w:r>
        <w:rPr>
          <w:rFonts w:ascii="Garamond" w:hAnsi="Garamond"/>
          <w:b/>
          <w:lang w:val="en-US"/>
        </w:rPr>
      </w:r>
    </w:p>
    <w:p>
      <w:pPr>
        <w:pStyle w:val="Normal"/>
        <w:rPr>
          <w:rFonts w:ascii="Garamond" w:hAnsi="Garamond" w:eastAsia="MS Mincho"/>
          <w:b/>
          <w:b/>
          <w:bCs/>
          <w:lang w:val="en-US" w:eastAsia="ja-JP"/>
        </w:rPr>
      </w:pPr>
      <w:r>
        <w:rPr>
          <w:rFonts w:ascii="Garamond" w:hAnsi="Garamond"/>
          <w:b/>
          <w:lang w:val="en-US"/>
        </w:rPr>
        <w:t>MODULO N. 4    BUSINESS COMMUNICATION</w:t>
      </w:r>
    </w:p>
    <w:p>
      <w:pPr>
        <w:pStyle w:val="Normal"/>
        <w:rPr>
          <w:rFonts w:ascii="Garamond" w:hAnsi="Garamond" w:eastAsia="MS Mincho"/>
          <w:b/>
          <w:b/>
          <w:bCs/>
          <w:lang w:val="en-US" w:eastAsia="ja-JP"/>
        </w:rPr>
      </w:pPr>
      <w:r>
        <w:rPr>
          <w:rFonts w:eastAsia="MS Mincho" w:ascii="Garamond" w:hAnsi="Garamond"/>
          <w:b/>
          <w:bCs/>
          <w:lang w:val="en-US" w:eastAsia="ja-JP"/>
        </w:rPr>
      </w:r>
    </w:p>
    <w:tbl>
      <w:tblPr>
        <w:tblW w:w="10467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888"/>
        <w:gridCol w:w="7578"/>
      </w:tblGrid>
      <w:tr>
        <w:trPr>
          <w:trHeight w:val="504" w:hRule="atLeast"/>
          <w:cantSplit w:val="true"/>
        </w:trPr>
        <w:tc>
          <w:tcPr>
            <w:tcW w:w="10466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color="auto" w:fill="C0C0C0" w:val="clear"/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b w:val="false"/>
                <w:b w:val="false"/>
                <w:bCs w:val="false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Competenza (rif. STCW 95 Emended 2010)</w:t>
            </w:r>
          </w:p>
        </w:tc>
      </w:tr>
      <w:tr>
        <w:trPr>
          <w:trHeight w:val="325" w:hRule="atLeast"/>
        </w:trPr>
        <w:tc>
          <w:tcPr>
            <w:tcW w:w="10466" w:type="dxa"/>
            <w:gridSpan w:val="2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II  2nd: Use of English in written and oral form.</w: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lang w:val="en-US"/>
              </w:rPr>
              <w:t xml:space="preserve">             </w:t>
            </w:r>
            <w:r>
              <w:rPr/>
              <w:t>Usa la lingua inglese in forma scritta e parlata</w:t>
            </w:r>
          </w:p>
        </w:tc>
      </w:tr>
      <w:tr>
        <w:trPr>
          <w:trHeight w:val="925" w:hRule="atLeast"/>
        </w:trPr>
        <w:tc>
          <w:tcPr>
            <w:tcW w:w="10466" w:type="dxa"/>
            <w:gridSpan w:val="2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BFBFBF" w:val="clear"/>
          </w:tcPr>
          <w:p>
            <w:pPr>
              <w:pStyle w:val="Titolo2"/>
              <w:widowControl w:val="false"/>
              <w:spacing w:before="60" w:after="0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22"/>
                <w:szCs w:val="22"/>
              </w:rPr>
              <w:t>Padroneggiare la lingua inglese per scopi comunicativi e utilizzare i linguaggi settoriali relativi ai percorsi di studio, per interagire in diversi ambiti e contesti professionali, al livello B2 del quadro comune europeo di riferimento per le Lingue  ( QCER 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Individuare.e utilizzare gli strumenti di comunicazione e di team working più appropriati per intervenire nei contesti organizzativi e professionali di riferimento.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Redigere relazioni tecniche e documentare le attività individuali e di gruppo relarive a situazioni professionali.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78" w:hRule="atLeast"/>
        </w:trPr>
        <w:tc>
          <w:tcPr>
            <w:tcW w:w="288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lang w:val="it-IT" w:eastAsia="it-IT"/>
              </w:rPr>
            </w:pPr>
            <w:r>
              <w:rPr>
                <w:lang w:val="it-IT" w:eastAsia="it-IT"/>
              </w:rPr>
              <w:t>Discipline coinvolte</w:t>
            </w:r>
          </w:p>
        </w:tc>
        <w:tc>
          <w:tcPr>
            <w:tcW w:w="75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Logistica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Italiano </w:t>
            </w:r>
          </w:p>
        </w:tc>
      </w:tr>
      <w:tr>
        <w:trPr>
          <w:trHeight w:val="499" w:hRule="atLeast"/>
        </w:trPr>
        <w:tc>
          <w:tcPr>
            <w:tcW w:w="10466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002060" w:val="clear"/>
            <w:vAlign w:val="center"/>
          </w:tcPr>
          <w:p>
            <w:pPr>
              <w:pStyle w:val="Normal"/>
              <w:widowControl w:val="false"/>
              <w:ind w:left="68" w:right="181" w:hanging="0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>
        <w:trPr>
          <w:trHeight w:val="818" w:hRule="atLeast"/>
          <w:cantSplit w:val="true"/>
        </w:trPr>
        <w:tc>
          <w:tcPr>
            <w:tcW w:w="288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</w:r>
          </w:p>
        </w:tc>
        <w:tc>
          <w:tcPr>
            <w:tcW w:w="75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60" w:after="60"/>
              <w:ind w:left="720" w:right="181" w:hanging="360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T</w:t>
            </w:r>
            <w:r>
              <w:rPr>
                <w:rFonts w:ascii="Garamond" w:hAnsi="Garamond"/>
                <w:smallCaps/>
                <w:sz w:val="22"/>
                <w:szCs w:val="22"/>
              </w:rPr>
              <w:t>erminologia tecnica utilizzata nelle lettere e nelle e-mail commerciali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60" w:after="60"/>
              <w:ind w:left="720" w:right="181" w:hanging="360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F</w:t>
            </w:r>
            <w:r>
              <w:rPr>
                <w:rFonts w:ascii="Garamond" w:hAnsi="Garamond"/>
                <w:smallCaps/>
                <w:sz w:val="22"/>
                <w:szCs w:val="22"/>
              </w:rPr>
              <w:t>attori di coerenza e coesione del discorso.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60" w:after="60"/>
              <w:ind w:left="720" w:right="181" w:hanging="360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Contestualizzazione del registro linguistico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60" w:after="60"/>
              <w:ind w:left="720" w:right="181" w:hanging="360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Organizzazione del discorso tecnico per comprendere, interpretare e comunicare testi.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60" w:after="60"/>
              <w:ind w:left="720" w:right="181" w:hanging="360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Caratteristiche delle principali tipologie testuali, in particolare tecnico-professionali.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60" w:after="60"/>
              <w:ind w:left="720" w:right="181" w:hanging="360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Linguaggio settoriale – Livello B2 QCER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60" w:after="60"/>
              <w:ind w:left="720" w:right="181" w:hanging="360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Lessico e fraseologia convenzionali per affrontare situazioni comunicative sociali e di lavoro; varietà di registro e di contesto.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60" w:after="60"/>
              <w:ind w:left="720" w:right="181" w:hanging="360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tecniche di sintesi di testi, conversazioni o incontri di lavoro</w:t>
            </w:r>
          </w:p>
          <w:p>
            <w:pPr>
              <w:pStyle w:val="Normal"/>
              <w:widowControl w:val="false"/>
              <w:spacing w:before="60" w:after="60"/>
              <w:ind w:left="720" w:right="181" w:hanging="0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mallCaps/>
                <w:sz w:val="22"/>
                <w:szCs w:val="22"/>
              </w:rPr>
              <w:t>( REPORTING ).</w:t>
            </w:r>
          </w:p>
        </w:tc>
      </w:tr>
      <w:tr>
        <w:trPr>
          <w:trHeight w:val="585" w:hRule="atLeast"/>
        </w:trPr>
        <w:tc>
          <w:tcPr>
            <w:tcW w:w="10466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002060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68" w:right="181" w:hanging="0"/>
              <w:jc w:val="center"/>
              <w:rPr>
                <w:rFonts w:ascii="Garamond" w:hAnsi="Garamond"/>
                <w:b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ABILITA’</w:t>
            </w:r>
          </w:p>
        </w:tc>
      </w:tr>
      <w:tr>
        <w:trPr>
          <w:trHeight w:val="559" w:hRule="atLeast"/>
        </w:trPr>
        <w:tc>
          <w:tcPr>
            <w:tcW w:w="288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</w:r>
          </w:p>
        </w:tc>
        <w:tc>
          <w:tcPr>
            <w:tcW w:w="75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56" w:right="-1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 e discutere su contenuti e testi commerciali (lettere e e-mail) per richiedere informazioni, rispondere ad una richiesta di informazioni, per inviare e/o ricevere ordini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56" w:right="-1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Prendere parte ad un’intervista o un colloquio di lavoro, controllando e confermando informazioni e dando seguito ad una risposta appropriata.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56" w:right="-1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Scrivere un CV con lettera di presentazione in lingua inglese.</w:t>
            </w:r>
          </w:p>
        </w:tc>
      </w:tr>
      <w:tr>
        <w:trPr>
          <w:trHeight w:val="1162" w:hRule="atLeast"/>
        </w:trPr>
        <w:tc>
          <w:tcPr>
            <w:tcW w:w="288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5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ind w:left="716" w:right="-1" w:hanging="360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E-mails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ind w:left="716" w:right="-1" w:hanging="360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Elements of an e-mail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ind w:left="716" w:right="-1" w:hanging="360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The body of an e-mail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ind w:left="716" w:right="-1" w:hanging="360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Making and answering telephone calls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ind w:left="716" w:right="-1" w:hanging="360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CV and job interview</w:t>
            </w:r>
          </w:p>
        </w:tc>
      </w:tr>
    </w:tbl>
    <w:p>
      <w:pPr>
        <w:pStyle w:val="Normal"/>
        <w:rPr>
          <w:rFonts w:ascii="Garamond" w:hAnsi="Garamond" w:eastAsia="MS Mincho"/>
          <w:b/>
          <w:b/>
          <w:bCs/>
          <w:lang w:val="en-US" w:eastAsia="ja-JP"/>
        </w:rPr>
      </w:pPr>
      <w:r>
        <w:rPr>
          <w:rFonts w:eastAsia="MS Mincho" w:ascii="Garamond" w:hAnsi="Garamond"/>
          <w:b/>
          <w:bCs/>
          <w:lang w:val="en-US" w:eastAsia="ja-JP"/>
        </w:rPr>
      </w:r>
    </w:p>
    <w:tbl>
      <w:tblPr>
        <w:tblW w:w="10317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857"/>
        <w:gridCol w:w="1551"/>
        <w:gridCol w:w="425"/>
        <w:gridCol w:w="1541"/>
        <w:gridCol w:w="159"/>
        <w:gridCol w:w="13"/>
        <w:gridCol w:w="1796"/>
        <w:gridCol w:w="1966"/>
        <w:gridCol w:w="8"/>
      </w:tblGrid>
      <w:tr>
        <w:trPr>
          <w:trHeight w:val="539" w:hRule="atLeast"/>
        </w:trPr>
        <w:tc>
          <w:tcPr>
            <w:tcW w:w="2857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Impegno Orario</w:t>
            </w:r>
          </w:p>
        </w:tc>
        <w:tc>
          <w:tcPr>
            <w:tcW w:w="1976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0" w:hanging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3" w:type="dxa"/>
            <w:gridSpan w:val="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0" w:hanging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</w:t>
            </w:r>
          </w:p>
        </w:tc>
      </w:tr>
      <w:tr>
        <w:trPr>
          <w:trHeight w:val="1121" w:hRule="atLeast"/>
        </w:trPr>
        <w:tc>
          <w:tcPr>
            <w:tcW w:w="2857" w:type="dxa"/>
            <w:vMerge w:val="continue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</w:r>
          </w:p>
        </w:tc>
        <w:tc>
          <w:tcPr>
            <w:tcW w:w="1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0" w:hanging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Periodo</w:t>
            </w:r>
          </w:p>
          <w:p>
            <w:pPr>
              <w:pStyle w:val="Normal"/>
              <w:widowControl w:val="false"/>
              <w:ind w:left="170" w:hanging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</w:t>
            </w:r>
            <w:r>
              <w:rPr>
                <w:rFonts w:ascii="Garamond" w:hAnsi="Garamond"/>
              </w:rPr>
              <w:t>Settembre</w: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</w:t>
            </w:r>
            <w:r>
              <w:rPr>
                <w:rFonts w:ascii="Garamond" w:hAnsi="Garamond"/>
              </w:rPr>
              <w:t>Ottobre</w: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</w:t>
            </w:r>
            <w:r>
              <w:rPr>
                <w:rFonts w:ascii="Garamond" w:hAnsi="Garamond"/>
              </w:rPr>
              <w:t>Novembre</w: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</w:t>
            </w:r>
            <w:r>
              <w:rPr>
                <w:rFonts w:ascii="Garamond" w:hAnsi="Garamond"/>
              </w:rPr>
              <w:t>Dicembre</w:t>
            </w:r>
          </w:p>
        </w:tc>
        <w:tc>
          <w:tcPr>
            <w:tcW w:w="1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Gennaio</w: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</w:t>
            </w:r>
            <w:r>
              <w:rPr>
                <w:rFonts w:ascii="Garamond" w:hAnsi="Garamond"/>
              </w:rPr>
              <w:t>Febbario</w: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x Marzo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x Aprile</w: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</w:t>
            </w:r>
            <w:r>
              <w:rPr>
                <w:rFonts w:ascii="Garamond" w:hAnsi="Garamond"/>
              </w:rPr>
              <w:t>Maggio</w: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</w:t>
            </w:r>
            <w:r>
              <w:rPr>
                <w:rFonts w:ascii="Garamond" w:hAnsi="Garamond"/>
              </w:rPr>
              <w:t>Giugno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30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Metodi Formativi</w:t>
            </w:r>
          </w:p>
          <w:p>
            <w:pPr>
              <w:pStyle w:val="Normal"/>
              <w:widowControl w:val="false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hAnsi="Garamond"/>
                <w:color w:val="FF0000"/>
              </w:rPr>
            </w:r>
          </w:p>
        </w:tc>
        <w:tc>
          <w:tcPr>
            <w:tcW w:w="3689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laboratorio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de briefing</w:t>
            </w:r>
          </w:p>
          <w:p>
            <w:pPr>
              <w:pStyle w:val="Normal"/>
              <w:widowControl w:val="false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esercitazioni</w:t>
            </w:r>
          </w:p>
          <w:p>
            <w:pPr>
              <w:pStyle w:val="Normal"/>
              <w:widowControl w:val="false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dialogo formativo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problem solving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problem 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alternanza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  <w:lang w:val="en-US"/>
              </w:rPr>
              <w:t>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project work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simulazione – virtual Lab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e-learning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brain – storming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percorso autoapprendimento</w:t>
            </w:r>
          </w:p>
          <w:p>
            <w:pPr>
              <w:pStyle w:val="Normal"/>
              <w:widowControl w:val="false"/>
              <w:rPr>
                <w:rFonts w:ascii="Garamond" w:hAnsi="Garamond"/>
                <w:i/>
                <w:i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Altro: Cooperative Learning</w:t>
            </w:r>
          </w:p>
        </w:tc>
      </w:tr>
      <w:tr>
        <w:trPr>
          <w:trHeight w:val="795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Mezzi, strumenti</w:t>
            </w:r>
          </w:p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e sussidi </w:t>
            </w:r>
          </w:p>
          <w:p>
            <w:pPr>
              <w:pStyle w:val="Normal"/>
              <w:widowControl w:val="false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hAnsi="Garamond"/>
                <w:strike/>
              </w:rPr>
            </w:r>
          </w:p>
        </w:tc>
        <w:tc>
          <w:tcPr>
            <w:tcW w:w="3689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 attrezzature di laboratorio    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</w:t>
            </w:r>
            <w:r>
              <w:rPr>
                <w:rFonts w:ascii="Garamond" w:hAnsi="Garamond"/>
                <w:sz w:val="22"/>
                <w:szCs w:val="22"/>
              </w:rPr>
              <w:t>PC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</w:t>
            </w:r>
            <w:r>
              <w:rPr>
                <w:rFonts w:ascii="Garamond" w:hAnsi="Garamond"/>
                <w:sz w:val="22"/>
                <w:szCs w:val="22"/>
              </w:rPr>
              <w:t>..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 </w:t>
            </w:r>
            <w:r>
              <w:rPr>
                <w:rFonts w:ascii="Garamond" w:hAnsi="Garamond"/>
                <w:sz w:val="22"/>
                <w:szCs w:val="22"/>
              </w:rPr>
              <w:t>simulatore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monografie di apparati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virtual - lab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 dispense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  libro di testo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pubblicazioni ed e-book</w:t>
            </w:r>
          </w:p>
          <w:p>
            <w:pPr>
              <w:pStyle w:val="Normal"/>
              <w:widowControl w:val="false"/>
              <w:rPr>
                <w:rFonts w:ascii="Garamond" w:hAnsi="Garamond" w:eastAsia="MS Mincho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x  apparati multimediali</w:t>
            </w:r>
          </w:p>
          <w:p>
            <w:pPr>
              <w:pStyle w:val="Normal"/>
              <w:widowControl w:val="false"/>
              <w:rPr>
                <w:rFonts w:ascii="Garamond" w:hAnsi="Garamond" w:eastAsia="MS Mincho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strumenti per calcolo elettronico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Strumenti di misura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Cartografia tradiz. e/o elettronica</w:t>
            </w:r>
          </w:p>
          <w:p>
            <w:pPr>
              <w:pStyle w:val="Normal"/>
              <w:widowControl w:val="false"/>
              <w:rPr>
                <w:rFonts w:ascii="Garamond" w:hAnsi="Garamond" w:eastAsia="MS Mincho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Altro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Cs/>
                <w:sz w:val="22"/>
                <w:szCs w:val="22"/>
              </w:rPr>
              <w:t>materiale fornito sulla piattaforma scolastica Google Suite</w:t>
            </w:r>
          </w:p>
        </w:tc>
      </w:tr>
      <w:tr>
        <w:trPr>
          <w:trHeight w:val="625" w:hRule="atLeast"/>
        </w:trPr>
        <w:tc>
          <w:tcPr>
            <w:tcW w:w="10316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002060" w:val="clear"/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>
        <w:trPr>
          <w:trHeight w:val="1459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6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prova 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prova semistrutturata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relazione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saggio breve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soluzione di problemi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elaborazioni grafiche</w:t>
            </w:r>
          </w:p>
        </w:tc>
        <w:tc>
          <w:tcPr>
            <w:tcW w:w="378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9" wp14:anchorId="3151EA2D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4325" cy="266065"/>
                      <wp:effectExtent l="13335" t="8890" r="13970" b="13970"/>
                      <wp:wrapNone/>
                      <wp:docPr id="9" name="Casella di testo 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3640" cy="265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Contenutocornice"/>
                                    <w:widowControl w:val="false"/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color w:val="000000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upright="1">
                              <a:spAutoFit/>
                            </wps:bodyPr>
                          </wps:wsp>
                        </a:graphicData>
                      </a:graphic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rect id="shape_0" ID="Casella di testo 7" path="m0,0l-2147483645,0l-2147483645,-2147483646l0,-2147483646xe" fillcolor="white" stroked="t" style="position:absolute;margin-left:26.55pt;margin-top:2.95pt;width:124.65pt;height:20.85pt;mso-wrap-style:square;v-text-anchor:top" wp14:anchorId="3151EA2D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tocornice"/>
                              <w:widowControl w:val="false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/>
                              </w:rPr>
                              <w:t>Criteri di Valutazione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20 %.</w:t>
            </w:r>
          </w:p>
        </w:tc>
      </w:tr>
      <w:tr>
        <w:trPr>
          <w:trHeight w:val="843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6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prova 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prova semistrutturata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relazione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soluzione di problemi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elaborazioni grafiche</w:t>
            </w:r>
          </w:p>
        </w:tc>
        <w:tc>
          <w:tcPr>
            <w:tcW w:w="3783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</w:tr>
      <w:tr>
        <w:trPr>
          <w:trHeight w:val="416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9" w:type="dxa"/>
            <w:gridSpan w:val="8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>
        <w:trPr>
          <w:trHeight w:val="1022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Azioni di recupero ed  approfondimento</w:t>
            </w:r>
          </w:p>
        </w:tc>
        <w:tc>
          <w:tcPr>
            <w:tcW w:w="7459" w:type="dxa"/>
            <w:gridSpan w:val="8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Tutoraggio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>
      <w:pPr>
        <w:pStyle w:val="Normal"/>
        <w:rPr>
          <w:rFonts w:ascii="Garamond" w:hAnsi="Garamond"/>
          <w:b/>
          <w:b/>
          <w:lang w:val="en-US"/>
        </w:rPr>
      </w:pPr>
      <w:r>
        <w:rPr>
          <w:rFonts w:ascii="Garamond" w:hAnsi="Garamond"/>
          <w:b/>
          <w:lang w:val="en-US"/>
        </w:rPr>
      </w:r>
    </w:p>
    <w:p>
      <w:pPr>
        <w:pStyle w:val="Normal"/>
        <w:rPr>
          <w:rFonts w:ascii="Garamond" w:hAnsi="Garamond"/>
          <w:b/>
          <w:b/>
          <w:lang w:val="en-US"/>
        </w:rPr>
      </w:pPr>
      <w:r>
        <w:rPr>
          <w:rFonts w:ascii="Garamond" w:hAnsi="Garamond"/>
          <w:b/>
          <w:lang w:val="en-US"/>
        </w:rPr>
      </w:r>
    </w:p>
    <w:p>
      <w:pPr>
        <w:pStyle w:val="Normal"/>
        <w:rPr>
          <w:rFonts w:ascii="Garamond" w:hAnsi="Garamond" w:eastAsia="MS Mincho"/>
          <w:b/>
          <w:b/>
          <w:bCs/>
          <w:lang w:val="en-US" w:eastAsia="ja-JP"/>
        </w:rPr>
      </w:pPr>
      <w:r>
        <w:rPr>
          <w:rFonts w:ascii="Garamond" w:hAnsi="Garamond"/>
          <w:b/>
          <w:lang w:val="en-US"/>
        </w:rPr>
        <w:t>MODULO N. 5    INTERNATIONAL REGULATIONS, CONVENTIONS AND CODES</w:t>
      </w:r>
    </w:p>
    <w:p>
      <w:pPr>
        <w:pStyle w:val="Normal"/>
        <w:rPr>
          <w:rFonts w:ascii="Garamond" w:hAnsi="Garamond"/>
          <w:b/>
          <w:b/>
          <w:sz w:val="12"/>
          <w:szCs w:val="12"/>
          <w:lang w:val="en-US"/>
        </w:rPr>
      </w:pPr>
      <w:r>
        <w:rPr>
          <w:rFonts w:ascii="Garamond" w:hAnsi="Garamond"/>
          <w:b/>
          <w:sz w:val="12"/>
          <w:szCs w:val="12"/>
          <w:lang w:val="en-US"/>
        </w:rPr>
      </w:r>
    </w:p>
    <w:tbl>
      <w:tblPr>
        <w:tblW w:w="10467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888"/>
        <w:gridCol w:w="7578"/>
      </w:tblGrid>
      <w:tr>
        <w:trPr>
          <w:trHeight w:val="504" w:hRule="atLeast"/>
          <w:cantSplit w:val="true"/>
        </w:trPr>
        <w:tc>
          <w:tcPr>
            <w:tcW w:w="10466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color="auto" w:fill="C0C0C0" w:val="clear"/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b w:val="false"/>
                <w:b w:val="false"/>
                <w:bCs w:val="false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Competenza (rif. STCW 95 Emended 2010)</w:t>
            </w:r>
          </w:p>
        </w:tc>
      </w:tr>
      <w:tr>
        <w:trPr>
          <w:trHeight w:val="325" w:hRule="atLeast"/>
        </w:trPr>
        <w:tc>
          <w:tcPr>
            <w:tcW w:w="10466" w:type="dxa"/>
            <w:gridSpan w:val="2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II  2nd: Use of English in written and oral form.</w: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lang w:val="en-US"/>
              </w:rPr>
              <w:t xml:space="preserve">             </w:t>
            </w:r>
            <w:r>
              <w:rPr/>
              <w:t>Usa la lingua inglese in forma scritta e parlata</w:t>
            </w:r>
          </w:p>
        </w:tc>
      </w:tr>
      <w:tr>
        <w:trPr>
          <w:trHeight w:val="925" w:hRule="atLeast"/>
        </w:trPr>
        <w:tc>
          <w:tcPr>
            <w:tcW w:w="10466" w:type="dxa"/>
            <w:gridSpan w:val="2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BFBFBF" w:val="clear"/>
          </w:tcPr>
          <w:p>
            <w:pPr>
              <w:pStyle w:val="Titolo2"/>
              <w:widowControl w:val="false"/>
              <w:spacing w:before="60" w:after="0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22"/>
                <w:szCs w:val="22"/>
              </w:rPr>
              <w:t>Padroneggiare la lingua inglese per scopi comunicativi e utilizzare i linguaggi settoriali relativi ai percorsi di studio, per interagire in diversi ambiti e contesti professionali, al livello B2 del quadro comune europeo di riferimento per le Lingue  ( QCER 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Individuare.e utilizzare gli strumenti di comunicazione e di team working più appropriati per intervenire nei contesti organizzativi e professionali di riferimento.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Redigere relazioni tecniche e documentare le attività individuali e di gruppo relarive a situazioni professionali.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78" w:hRule="atLeast"/>
        </w:trPr>
        <w:tc>
          <w:tcPr>
            <w:tcW w:w="288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lang w:val="it-IT" w:eastAsia="it-IT"/>
              </w:rPr>
            </w:pPr>
            <w:r>
              <w:rPr>
                <w:lang w:val="it-IT" w:eastAsia="it-IT"/>
              </w:rPr>
              <w:t>Discipline coinvolte</w:t>
            </w:r>
          </w:p>
        </w:tc>
        <w:tc>
          <w:tcPr>
            <w:tcW w:w="75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Scienze della Navigazione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Italiano </w:t>
            </w:r>
          </w:p>
        </w:tc>
      </w:tr>
      <w:tr>
        <w:trPr>
          <w:trHeight w:val="499" w:hRule="atLeast"/>
        </w:trPr>
        <w:tc>
          <w:tcPr>
            <w:tcW w:w="10466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002060" w:val="clear"/>
            <w:vAlign w:val="center"/>
          </w:tcPr>
          <w:p>
            <w:pPr>
              <w:pStyle w:val="Normal"/>
              <w:widowControl w:val="false"/>
              <w:ind w:left="68" w:right="181" w:hanging="0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>
        <w:trPr>
          <w:trHeight w:val="818" w:hRule="atLeast"/>
          <w:cantSplit w:val="true"/>
        </w:trPr>
        <w:tc>
          <w:tcPr>
            <w:tcW w:w="288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</w:r>
          </w:p>
        </w:tc>
        <w:tc>
          <w:tcPr>
            <w:tcW w:w="75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60" w:after="60"/>
              <w:ind w:left="720" w:right="181" w:hanging="360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T</w:t>
            </w:r>
            <w:r>
              <w:rPr>
                <w:rFonts w:ascii="Garamond" w:hAnsi="Garamond"/>
                <w:smallCaps/>
                <w:sz w:val="22"/>
                <w:szCs w:val="22"/>
              </w:rPr>
              <w:t>erminologia tecnica utilizzata nei documenti ufficiali di bordo, nelle Convenzioni e nei Codici internazionali e negli equipaggiamenti di bordo.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60" w:after="60"/>
              <w:ind w:left="720" w:right="181" w:hanging="360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F</w:t>
            </w:r>
            <w:r>
              <w:rPr>
                <w:rFonts w:ascii="Garamond" w:hAnsi="Garamond"/>
                <w:smallCaps/>
                <w:sz w:val="22"/>
                <w:szCs w:val="22"/>
              </w:rPr>
              <w:t>attori di coerenza e coesione del discorso.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60" w:after="60"/>
              <w:ind w:left="720" w:right="181" w:hanging="360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Contestualizzazione del registro linguistico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60" w:after="60"/>
              <w:ind w:left="720" w:right="181" w:hanging="360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Organizzazione del discorso tecnico nautico anche per comprendere, interpretare e comunicare testi non continui ( numerici o grafici) con l’ausilio degli strumenti tecnologici a disposizione.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60" w:after="60"/>
              <w:ind w:left="720" w:right="181" w:hanging="360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Caratteristiche delle principali tipologie testuali, in particolare tecnico-professionali.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60" w:after="60"/>
              <w:ind w:left="720" w:right="181" w:hanging="360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 xml:space="preserve">Lessico e fraseologia specifici nautici relativi alla Safety and Security e alle International Conventions, Regulations e Codes. 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60" w:after="60"/>
              <w:ind w:left="720" w:right="181" w:hanging="360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Tecniche e problemi basilari della traduzione bilaterale, anche di testi tecnici.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60" w:after="60"/>
              <w:ind w:left="720" w:right="181" w:hanging="360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Linguaggio settoriale – Livello B2 QCER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60" w:after="60"/>
              <w:ind w:left="720" w:right="181" w:hanging="360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Lessico e fraseologia convenzionali per affrontare situazioni comunicative sociali e di lavoro; varietà di registro e di contesto.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60" w:after="60"/>
              <w:ind w:left="720" w:right="181" w:hanging="360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tecniche di sintesi di testi, conversazioni o incontri di lavoro</w:t>
            </w:r>
          </w:p>
          <w:p>
            <w:pPr>
              <w:pStyle w:val="Normal"/>
              <w:widowControl w:val="false"/>
              <w:spacing w:before="60" w:after="60"/>
              <w:ind w:left="720" w:right="181" w:hanging="0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mallCaps/>
                <w:sz w:val="22"/>
                <w:szCs w:val="22"/>
              </w:rPr>
              <w:t>( REPORTING ).</w:t>
            </w:r>
          </w:p>
        </w:tc>
      </w:tr>
      <w:tr>
        <w:trPr>
          <w:trHeight w:val="585" w:hRule="atLeast"/>
        </w:trPr>
        <w:tc>
          <w:tcPr>
            <w:tcW w:w="10466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002060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68" w:right="181" w:hanging="0"/>
              <w:jc w:val="center"/>
              <w:rPr>
                <w:rFonts w:ascii="Garamond" w:hAnsi="Garamond"/>
                <w:b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ABILITA’</w:t>
            </w:r>
          </w:p>
        </w:tc>
      </w:tr>
      <w:tr>
        <w:trPr>
          <w:trHeight w:val="559" w:hRule="atLeast"/>
        </w:trPr>
        <w:tc>
          <w:tcPr>
            <w:tcW w:w="288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</w:r>
          </w:p>
        </w:tc>
        <w:tc>
          <w:tcPr>
            <w:tcW w:w="75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56" w:right="-1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 e discutere su contenuti e testi relativi alla comunicazione radio, alla Safety and Security, alle International Regulations, Conventions e Codes.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56" w:right="-1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Comprendere, fare domande e dare istruzioni a carattere generale o nautico relativamente alla Safety e alla operatività della nave.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56" w:right="-1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 e discutere sulle assicurazioni marittime</w:t>
            </w:r>
          </w:p>
        </w:tc>
      </w:tr>
      <w:tr>
        <w:trPr>
          <w:trHeight w:val="1162" w:hRule="atLeast"/>
        </w:trPr>
        <w:tc>
          <w:tcPr>
            <w:tcW w:w="288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5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ind w:left="716" w:right="-1" w:hanging="360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MARPOL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ind w:left="716" w:right="-1" w:hanging="360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SOLAS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ind w:left="716" w:right="-1" w:hanging="360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ISPS Code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ind w:left="716" w:right="-1" w:hanging="360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SMCP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ind w:left="716" w:right="-1" w:hanging="360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Maritime insurance </w:t>
            </w:r>
          </w:p>
        </w:tc>
      </w:tr>
    </w:tbl>
    <w:p>
      <w:pPr>
        <w:pStyle w:val="Normal"/>
        <w:rPr>
          <w:sz w:val="22"/>
          <w:szCs w:val="22"/>
          <w:lang w:val="en-US"/>
        </w:rPr>
      </w:pPr>
      <w:r>
        <w:rPr>
          <w:rFonts w:ascii="Garamond" w:hAnsi="Garamond"/>
          <w:b/>
          <w:bCs/>
          <w:lang w:val="en-US"/>
        </w:rPr>
        <w:tab/>
      </w:r>
    </w:p>
    <w:tbl>
      <w:tblPr>
        <w:tblpPr w:bottomFromText="0" w:horzAnchor="margin" w:leftFromText="141" w:rightFromText="141" w:tblpX="0" w:tblpXSpec="center" w:tblpY="-1286" w:topFromText="0" w:vertAnchor="margin"/>
        <w:tblW w:w="10317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857"/>
        <w:gridCol w:w="1551"/>
        <w:gridCol w:w="425"/>
        <w:gridCol w:w="1541"/>
        <w:gridCol w:w="159"/>
        <w:gridCol w:w="13"/>
        <w:gridCol w:w="1796"/>
        <w:gridCol w:w="1966"/>
        <w:gridCol w:w="8"/>
      </w:tblGrid>
      <w:tr>
        <w:trPr>
          <w:trHeight w:val="539" w:hRule="atLeast"/>
        </w:trPr>
        <w:tc>
          <w:tcPr>
            <w:tcW w:w="2857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Impegno Orario</w:t>
            </w:r>
          </w:p>
        </w:tc>
        <w:tc>
          <w:tcPr>
            <w:tcW w:w="1976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0" w:hanging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3" w:type="dxa"/>
            <w:gridSpan w:val="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0" w:hanging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18</w:t>
            </w:r>
          </w:p>
        </w:tc>
      </w:tr>
      <w:tr>
        <w:trPr>
          <w:trHeight w:val="1121" w:hRule="atLeast"/>
        </w:trPr>
        <w:tc>
          <w:tcPr>
            <w:tcW w:w="2857" w:type="dxa"/>
            <w:vMerge w:val="continue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</w:r>
          </w:p>
        </w:tc>
        <w:tc>
          <w:tcPr>
            <w:tcW w:w="1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0" w:hanging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Periodo</w:t>
            </w:r>
          </w:p>
          <w:p>
            <w:pPr>
              <w:pStyle w:val="Normal"/>
              <w:widowControl w:val="false"/>
              <w:ind w:left="170" w:hanging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</w:t>
            </w:r>
            <w:r>
              <w:rPr>
                <w:rFonts w:ascii="Garamond" w:hAnsi="Garamond"/>
              </w:rPr>
              <w:t>Settembre</w: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</w:t>
            </w:r>
            <w:r>
              <w:rPr>
                <w:rFonts w:ascii="Garamond" w:hAnsi="Garamond"/>
              </w:rPr>
              <w:t>Ottobre</w: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</w:t>
            </w:r>
            <w:r>
              <w:rPr>
                <w:rFonts w:ascii="Garamond" w:hAnsi="Garamond"/>
              </w:rPr>
              <w:t>Novembre</w: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</w:t>
            </w:r>
            <w:r>
              <w:rPr>
                <w:rFonts w:ascii="Garamond" w:hAnsi="Garamond"/>
              </w:rPr>
              <w:t>Dicembre</w:t>
            </w:r>
          </w:p>
        </w:tc>
        <w:tc>
          <w:tcPr>
            <w:tcW w:w="1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Gennaio</w: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</w:t>
            </w:r>
            <w:r>
              <w:rPr>
                <w:rFonts w:ascii="Garamond" w:hAnsi="Garamond"/>
              </w:rPr>
              <w:t>Febbario</w: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</w:t>
            </w:r>
            <w:r>
              <w:rPr>
                <w:rFonts w:ascii="Garamond" w:hAnsi="Garamond"/>
              </w:rPr>
              <w:t>Marzo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</w:t>
            </w:r>
            <w:r>
              <w:rPr>
                <w:rFonts w:ascii="Garamond" w:hAnsi="Garamond"/>
              </w:rPr>
              <w:t>Aprile</w: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  Maggio</w: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  Giugno</w:t>
            </w:r>
          </w:p>
        </w:tc>
        <w:tc>
          <w:tcPr>
            <w:tcW w:w="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30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Metodi Formativi</w:t>
            </w:r>
          </w:p>
          <w:p>
            <w:pPr>
              <w:pStyle w:val="Normal"/>
              <w:widowControl w:val="false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hAnsi="Garamond"/>
                <w:color w:val="FF0000"/>
              </w:rPr>
            </w:r>
          </w:p>
        </w:tc>
        <w:tc>
          <w:tcPr>
            <w:tcW w:w="3689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laboratorio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de briefing</w:t>
            </w:r>
          </w:p>
          <w:p>
            <w:pPr>
              <w:pStyle w:val="Normal"/>
              <w:widowControl w:val="false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esercitazioni</w:t>
            </w:r>
          </w:p>
          <w:p>
            <w:pPr>
              <w:pStyle w:val="Normal"/>
              <w:widowControl w:val="false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dialogo formativo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problem solving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problem 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alternanza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  <w:lang w:val="en-US"/>
              </w:rPr>
              <w:t>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project work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simulazione – virtual Lab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e-learning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brain – storming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percorso autoapprendimento</w:t>
            </w:r>
          </w:p>
          <w:p>
            <w:pPr>
              <w:pStyle w:val="Normal"/>
              <w:widowControl w:val="false"/>
              <w:rPr>
                <w:rFonts w:ascii="Garamond" w:hAnsi="Garamond"/>
                <w:i/>
                <w:i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Altro: Cooperative Learning</w:t>
            </w:r>
          </w:p>
        </w:tc>
      </w:tr>
      <w:tr>
        <w:trPr>
          <w:trHeight w:val="795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Mezzi, strumenti</w:t>
            </w:r>
          </w:p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e sussidi </w:t>
            </w:r>
          </w:p>
          <w:p>
            <w:pPr>
              <w:pStyle w:val="Normal"/>
              <w:widowControl w:val="false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hAnsi="Garamond"/>
                <w:strike/>
              </w:rPr>
            </w:r>
          </w:p>
        </w:tc>
        <w:tc>
          <w:tcPr>
            <w:tcW w:w="3689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 attrezzature di laboratorio    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</w:t>
            </w:r>
            <w:r>
              <w:rPr>
                <w:rFonts w:ascii="Garamond" w:hAnsi="Garamond"/>
                <w:sz w:val="22"/>
                <w:szCs w:val="22"/>
              </w:rPr>
              <w:t>PC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○ ………</w:t>
            </w:r>
            <w:r>
              <w:rPr>
                <w:rFonts w:ascii="Garamond" w:hAnsi="Garamond"/>
                <w:sz w:val="22"/>
                <w:szCs w:val="22"/>
              </w:rPr>
              <w:t>..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  simulatore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monografie di apparati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virtual - lab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 dispense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  libro di testo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pubblicazioni ed e-book</w:t>
            </w:r>
          </w:p>
          <w:p>
            <w:pPr>
              <w:pStyle w:val="Normal"/>
              <w:widowControl w:val="false"/>
              <w:rPr>
                <w:rFonts w:ascii="Garamond" w:hAnsi="Garamond" w:eastAsia="MS Mincho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x  apparati multimediali</w:t>
            </w:r>
          </w:p>
          <w:p>
            <w:pPr>
              <w:pStyle w:val="Normal"/>
              <w:widowControl w:val="false"/>
              <w:rPr>
                <w:rFonts w:ascii="Garamond" w:hAnsi="Garamond" w:eastAsia="MS Mincho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strumenti per calcolo elettronico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Strumenti di misura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Cartografia tradiz. e/o elettronica</w:t>
            </w:r>
          </w:p>
          <w:p>
            <w:pPr>
              <w:pStyle w:val="Normal"/>
              <w:widowControl w:val="false"/>
              <w:rPr>
                <w:rFonts w:ascii="Garamond" w:hAnsi="Garamond" w:eastAsia="MS Mincho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Altro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>
        <w:trPr>
          <w:trHeight w:val="625" w:hRule="atLeast"/>
        </w:trPr>
        <w:tc>
          <w:tcPr>
            <w:tcW w:w="10316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002060" w:val="clear"/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>
        <w:trPr>
          <w:trHeight w:val="1459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6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prova 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prova semistrutturata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relazione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saggio breve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soluzione di problemi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elaborazioni grafiche</w:t>
            </w:r>
          </w:p>
        </w:tc>
        <w:tc>
          <w:tcPr>
            <w:tcW w:w="378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5" wp14:anchorId="5D568743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4325" cy="266065"/>
                      <wp:effectExtent l="13335" t="8890" r="13970" b="13970"/>
                      <wp:wrapNone/>
                      <wp:docPr id="11" name="Casella di testo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3640" cy="265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Contenutocornice"/>
                                    <w:widowControl w:val="false"/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color w:val="000000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upright="1">
                              <a:spAutoFit/>
                            </wps:bodyPr>
                          </wps:wsp>
                        </a:graphicData>
                      </a:graphic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rect id="shape_0" ID="Casella di testo 3" path="m0,0l-2147483645,0l-2147483645,-2147483646l0,-2147483646xe" fillcolor="white" stroked="t" style="position:absolute;margin-left:26.55pt;margin-top:2.95pt;width:124.65pt;height:20.85pt;mso-wrap-style:square;v-text-anchor:top" wp14:anchorId="5D568743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tocornice"/>
                              <w:widowControl w:val="false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/>
                              </w:rPr>
                              <w:t>Criteri di Valutazione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20 %.</w:t>
            </w:r>
          </w:p>
        </w:tc>
      </w:tr>
      <w:tr>
        <w:trPr>
          <w:trHeight w:val="843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6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prova 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prova semistrutturata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relazione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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soluzione di problemi</w:t>
            </w:r>
          </w:p>
          <w:p>
            <w:pPr>
              <w:pStyle w:val="Normal"/>
              <w:widowControl w:val="fals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 </w:t>
            </w:r>
            <w:r>
              <w:rPr>
                <w:rFonts w:ascii="Garamond" w:hAnsi="Garamond"/>
                <w:sz w:val="22"/>
                <w:szCs w:val="22"/>
              </w:rPr>
              <w:t>elaborazioni grafiche</w:t>
            </w:r>
          </w:p>
        </w:tc>
        <w:tc>
          <w:tcPr>
            <w:tcW w:w="3783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</w:tr>
      <w:tr>
        <w:trPr>
          <w:trHeight w:val="416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9" w:type="dxa"/>
            <w:gridSpan w:val="8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>
        <w:trPr>
          <w:trHeight w:val="1022" w:hRule="atLeast"/>
        </w:trPr>
        <w:tc>
          <w:tcPr>
            <w:tcW w:w="285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Titolo2"/>
              <w:widowControl w:val="false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Azioni di recupero ed  approfondimento</w:t>
            </w:r>
          </w:p>
        </w:tc>
        <w:tc>
          <w:tcPr>
            <w:tcW w:w="7459" w:type="dxa"/>
            <w:gridSpan w:val="8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Tutoraggio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356" w:hanging="36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30 Novembre 202</w:t>
      </w:r>
      <w:r>
        <w:rPr/>
        <w:t>2</w:t>
      </w:r>
      <w:r>
        <w:rPr/>
        <w:t xml:space="preserve">                                           Guastini Cinzia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aramond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Garamond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1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76" w:hanging="360"/>
      </w:pPr>
      <w:rPr>
        <w:rFonts w:ascii="Wingdings" w:hAnsi="Wingdings" w:cs="Wingdings" w:hint="default"/>
      </w:rPr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716" w:hanging="360"/>
      </w:pPr>
      <w:rPr>
        <w:rFonts w:ascii="Garamond" w:hAnsi="Garamond" w:cs="Garamon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76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10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6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1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76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9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314c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Titolo2">
    <w:name w:val="Heading 2"/>
    <w:basedOn w:val="Normal"/>
    <w:next w:val="Normal"/>
    <w:link w:val="Titolo2Carattere"/>
    <w:qFormat/>
    <w:rsid w:val="003314cb"/>
    <w:pPr>
      <w:keepNext w:val="true"/>
      <w:outlineLvl w:val="1"/>
    </w:pPr>
    <w:rPr>
      <w:b/>
      <w:bCs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2Carattere" w:customStyle="1">
    <w:name w:val="Titolo 2 Carattere"/>
    <w:basedOn w:val="DefaultParagraphFont"/>
    <w:link w:val="Titolo2"/>
    <w:qFormat/>
    <w:rsid w:val="003314cb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IntestazioneCarattere" w:customStyle="1">
    <w:name w:val="Intestazione Carattere"/>
    <w:basedOn w:val="DefaultParagraphFont"/>
    <w:link w:val="Intestazione"/>
    <w:semiHidden/>
    <w:qFormat/>
    <w:rsid w:val="003314cb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2d5630"/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semiHidden/>
    <w:rsid w:val="003314cb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qFormat/>
    <w:rsid w:val="003314cb"/>
    <w:pPr>
      <w:spacing w:before="0" w:after="0"/>
      <w:ind w:left="720" w:hanging="0"/>
      <w:contextualSpacing/>
    </w:pPr>
    <w:rPr/>
  </w:style>
  <w:style w:type="paragraph" w:styleId="Pidipagina">
    <w:name w:val="Footer"/>
    <w:basedOn w:val="Normal"/>
    <w:link w:val="PidipaginaCarattere"/>
    <w:uiPriority w:val="99"/>
    <w:unhideWhenUsed/>
    <w:rsid w:val="002d5630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LibreOffice/7.1.2.2$Windows_X86_64 LibreOffice_project/8a45595d069ef5570103caea1b71cc9d82b2aae4</Application>
  <AppVersion>15.0000</AppVersion>
  <Pages>15</Pages>
  <Words>3604</Words>
  <Characters>20375</Characters>
  <CharactersWithSpaces>24004</CharactersWithSpaces>
  <Paragraphs>640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2021-11-26T08:35:00Z</dcterms:created>
  <dc:creator>MariaTeresa</dc:creator>
  <dc:description/>
  <dc:language>it-IT</dc:language>
  <cp:lastModifiedBy/>
  <dcterms:modified xsi:type="dcterms:W3CDTF">2022-11-29T07:58:00Z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